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EE63" w14:textId="66D3159B" w:rsidR="00D02EC9" w:rsidRDefault="00D02EC9" w:rsidP="00D02EC9">
      <w:pPr>
        <w:pBdr>
          <w:bottom w:val="single" w:sz="4" w:space="1" w:color="auto"/>
        </w:pBdr>
        <w:spacing w:after="0" w:line="240" w:lineRule="auto"/>
      </w:pPr>
      <w:r>
        <w:t xml:space="preserve">Transcript – </w:t>
      </w:r>
      <w:r>
        <w:t>Career Guidance</w:t>
      </w:r>
      <w:r>
        <w:t xml:space="preserve"> (</w:t>
      </w:r>
      <w:r>
        <w:t>September 27</w:t>
      </w:r>
      <w:r>
        <w:t>, 2019)</w:t>
      </w:r>
    </w:p>
    <w:p w14:paraId="7FF2171A" w14:textId="77777777" w:rsidR="00D02EC9" w:rsidRDefault="00D02EC9" w:rsidP="003033AC">
      <w:pPr>
        <w:spacing w:after="0" w:line="240" w:lineRule="auto"/>
        <w:rPr>
          <w:rStyle w:val="Hyperlink"/>
          <w:color w:val="auto"/>
          <w:u w:val="none"/>
        </w:rPr>
      </w:pPr>
    </w:p>
    <w:p w14:paraId="61727663" w14:textId="3DD7194B" w:rsidR="00EA6166" w:rsidRDefault="004C2F5F" w:rsidP="003033AC">
      <w:pPr>
        <w:spacing w:after="0" w:line="240" w:lineRule="auto"/>
      </w:pPr>
      <w:r w:rsidRPr="008964CE">
        <w:rPr>
          <w:rStyle w:val="Hyperlink"/>
          <w:color w:val="auto"/>
          <w:u w:val="none"/>
        </w:rPr>
        <w:t xml:space="preserve">In any given year, only about half of America’s high school population participates in a career and technical education course.  And only one in five students concentrate </w:t>
      </w:r>
      <w:r w:rsidR="00C563CD">
        <w:rPr>
          <w:rStyle w:val="Hyperlink"/>
          <w:color w:val="auto"/>
          <w:u w:val="none"/>
        </w:rPr>
        <w:t>in</w:t>
      </w:r>
      <w:r w:rsidRPr="008964CE">
        <w:rPr>
          <w:rStyle w:val="Hyperlink"/>
          <w:color w:val="auto"/>
          <w:u w:val="none"/>
        </w:rPr>
        <w:t xml:space="preserve"> a career pathway.  </w:t>
      </w:r>
    </w:p>
    <w:p w14:paraId="714FCE85" w14:textId="1DB2C02D" w:rsidR="00EA6166" w:rsidRDefault="00EA6166" w:rsidP="003033AC">
      <w:pPr>
        <w:spacing w:after="0" w:line="240" w:lineRule="auto"/>
      </w:pPr>
    </w:p>
    <w:p w14:paraId="1A53C715" w14:textId="3FCDE8EA" w:rsidR="00EA6166" w:rsidRPr="008964CE" w:rsidRDefault="00EA6166" w:rsidP="00EA6166">
      <w:pPr>
        <w:spacing w:after="0" w:line="240" w:lineRule="auto"/>
        <w:rPr>
          <w:rStyle w:val="Hyperlink"/>
          <w:color w:val="auto"/>
          <w:u w:val="none"/>
        </w:rPr>
      </w:pPr>
      <w:r w:rsidRPr="008964CE">
        <w:rPr>
          <w:rStyle w:val="Hyperlink"/>
          <w:color w:val="auto"/>
          <w:u w:val="none"/>
        </w:rPr>
        <w:t xml:space="preserve">In order to fill the skills gap, school districts must be equipped to guide students into multiple pathways, including industry certifications, apprenticeships, 2- and 4-year degrees.  </w:t>
      </w:r>
      <w:r w:rsidR="00A92FA3" w:rsidRPr="008964CE">
        <w:rPr>
          <w:rStyle w:val="Hyperlink"/>
          <w:color w:val="auto"/>
          <w:u w:val="none"/>
        </w:rPr>
        <w:t>One way to get more students onto the right path earlier in their education journey is through</w:t>
      </w:r>
      <w:r w:rsidR="00A92FA3">
        <w:rPr>
          <w:rStyle w:val="Hyperlink"/>
          <w:color w:val="auto"/>
          <w:u w:val="none"/>
        </w:rPr>
        <w:t xml:space="preserve"> </w:t>
      </w:r>
      <w:r w:rsidR="00A92FA3" w:rsidRPr="008964CE">
        <w:rPr>
          <w:rStyle w:val="Hyperlink"/>
          <w:color w:val="auto"/>
          <w:u w:val="none"/>
        </w:rPr>
        <w:t xml:space="preserve">career exploration and guidance.  </w:t>
      </w:r>
    </w:p>
    <w:p w14:paraId="78CE3853" w14:textId="77777777" w:rsidR="00EA6166" w:rsidRDefault="00EA6166" w:rsidP="003033AC">
      <w:pPr>
        <w:spacing w:after="0" w:line="240" w:lineRule="auto"/>
      </w:pPr>
    </w:p>
    <w:p w14:paraId="4CC6A064" w14:textId="03C85314" w:rsidR="00EA6166" w:rsidRDefault="00DA10A3" w:rsidP="003033AC">
      <w:pPr>
        <w:spacing w:after="0" w:line="240" w:lineRule="auto"/>
      </w:pPr>
      <w:r>
        <w:t xml:space="preserve">Congress </w:t>
      </w:r>
      <w:r w:rsidR="00EA6166">
        <w:t xml:space="preserve">recognized the power of career exploration and guidance when </w:t>
      </w:r>
      <w:proofErr w:type="gramStart"/>
      <w:r w:rsidR="00EA6166">
        <w:t>it</w:t>
      </w:r>
      <w:proofErr w:type="gramEnd"/>
      <w:r w:rsidR="00EA6166">
        <w:t xml:space="preserve"> reauthorized Perkins V last </w:t>
      </w:r>
      <w:r w:rsidR="00D568E7">
        <w:t>year</w:t>
      </w:r>
      <w:r w:rsidR="00EA6166">
        <w:t>.</w:t>
      </w:r>
      <w:r w:rsidR="00A92FA3">
        <w:t xml:space="preserve"> </w:t>
      </w:r>
      <w:r w:rsidR="002D7C30">
        <w:t>Local applicants must include a description of how they, in collaboration with local workforce development boards and other local workforce agencies, one-stop delivery systems, and other partners, will provide an organized system of career guidance and academic counseling to students before enrolling and while participating in a career and technical education program</w:t>
      </w:r>
      <w:r w:rsidR="00D568E7">
        <w:t xml:space="preserve">. </w:t>
      </w:r>
    </w:p>
    <w:p w14:paraId="04EA3FFF" w14:textId="73A5BF57" w:rsidR="00D568E7" w:rsidRDefault="00D568E7" w:rsidP="003033AC">
      <w:pPr>
        <w:spacing w:after="0" w:line="240" w:lineRule="auto"/>
      </w:pPr>
    </w:p>
    <w:p w14:paraId="683D0869" w14:textId="2B0298B4" w:rsidR="00EA6166" w:rsidRDefault="00D568E7" w:rsidP="00EA6166">
      <w:pPr>
        <w:spacing w:after="0" w:line="240" w:lineRule="auto"/>
        <w:rPr>
          <w:rStyle w:val="Hyperlink"/>
          <w:color w:val="auto"/>
          <w:u w:val="none"/>
        </w:rPr>
      </w:pPr>
      <w:r w:rsidRPr="008964CE">
        <w:rPr>
          <w:rStyle w:val="Hyperlink"/>
          <w:color w:val="auto"/>
          <w:u w:val="none"/>
        </w:rPr>
        <w:t xml:space="preserve">What </w:t>
      </w:r>
      <w:r>
        <w:rPr>
          <w:rStyle w:val="Hyperlink"/>
          <w:color w:val="auto"/>
          <w:u w:val="none"/>
        </w:rPr>
        <w:t>is your state</w:t>
      </w:r>
      <w:r w:rsidRPr="008964CE">
        <w:rPr>
          <w:rStyle w:val="Hyperlink"/>
          <w:color w:val="auto"/>
          <w:u w:val="none"/>
        </w:rPr>
        <w:t xml:space="preserve"> requiring of that section in </w:t>
      </w:r>
      <w:r>
        <w:rPr>
          <w:rStyle w:val="Hyperlink"/>
          <w:color w:val="auto"/>
          <w:u w:val="none"/>
        </w:rPr>
        <w:t>your</w:t>
      </w:r>
      <w:r w:rsidRPr="008964CE">
        <w:rPr>
          <w:rStyle w:val="Hyperlink"/>
          <w:color w:val="auto"/>
          <w:u w:val="none"/>
        </w:rPr>
        <w:t xml:space="preserve"> local application? </w:t>
      </w:r>
    </w:p>
    <w:p w14:paraId="17A6EAA3" w14:textId="5C257E21" w:rsidR="00D568E7" w:rsidRDefault="00D568E7" w:rsidP="00EA6166">
      <w:pPr>
        <w:spacing w:after="0" w:line="240" w:lineRule="auto"/>
        <w:rPr>
          <w:rStyle w:val="Hyperlink"/>
          <w:color w:val="auto"/>
          <w:u w:val="none"/>
        </w:rPr>
      </w:pPr>
    </w:p>
    <w:p w14:paraId="17205DB0" w14:textId="5FA951E6" w:rsidR="00EA6166" w:rsidRDefault="00D568E7" w:rsidP="00EA6166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Additionally, e</w:t>
      </w:r>
      <w:r w:rsidR="00EA6166" w:rsidRPr="008964CE">
        <w:rPr>
          <w:rStyle w:val="Hyperlink"/>
          <w:color w:val="auto"/>
          <w:u w:val="none"/>
        </w:rPr>
        <w:t xml:space="preserve">very </w:t>
      </w:r>
      <w:r>
        <w:rPr>
          <w:rStyle w:val="Hyperlink"/>
          <w:color w:val="auto"/>
          <w:u w:val="none"/>
        </w:rPr>
        <w:t>eligible agency</w:t>
      </w:r>
      <w:r w:rsidR="00EA6166" w:rsidRPr="008964CE">
        <w:rPr>
          <w:rStyle w:val="Hyperlink"/>
          <w:color w:val="auto"/>
          <w:u w:val="none"/>
        </w:rPr>
        <w:t xml:space="preserve"> must lay out its vision and strategies for career and technical education in its </w:t>
      </w:r>
      <w:r w:rsidR="00CE3FDC">
        <w:rPr>
          <w:rStyle w:val="Hyperlink"/>
          <w:color w:val="auto"/>
          <w:u w:val="none"/>
        </w:rPr>
        <w:t>S</w:t>
      </w:r>
      <w:r w:rsidR="00EA6166" w:rsidRPr="008964CE">
        <w:rPr>
          <w:rStyle w:val="Hyperlink"/>
          <w:color w:val="auto"/>
          <w:u w:val="none"/>
        </w:rPr>
        <w:t xml:space="preserve">tate plan.  Knowing that career and technical education continues to carry a stigma of being only for </w:t>
      </w:r>
      <w:r>
        <w:rPr>
          <w:rStyle w:val="Hyperlink"/>
          <w:color w:val="auto"/>
          <w:u w:val="none"/>
        </w:rPr>
        <w:t>“</w:t>
      </w:r>
      <w:r w:rsidR="00EA6166" w:rsidRPr="008964CE">
        <w:rPr>
          <w:rStyle w:val="Hyperlink"/>
          <w:color w:val="auto"/>
          <w:u w:val="none"/>
        </w:rPr>
        <w:t>some careers</w:t>
      </w:r>
      <w:r>
        <w:rPr>
          <w:rStyle w:val="Hyperlink"/>
          <w:color w:val="auto"/>
          <w:u w:val="none"/>
        </w:rPr>
        <w:t>”</w:t>
      </w:r>
      <w:r w:rsidR="00EA6166" w:rsidRPr="008964CE">
        <w:rPr>
          <w:rStyle w:val="Hyperlink"/>
          <w:color w:val="auto"/>
          <w:u w:val="none"/>
        </w:rPr>
        <w:t xml:space="preserve"> and </w:t>
      </w:r>
      <w:r>
        <w:rPr>
          <w:rStyle w:val="Hyperlink"/>
          <w:color w:val="auto"/>
          <w:u w:val="none"/>
        </w:rPr>
        <w:t>“</w:t>
      </w:r>
      <w:r w:rsidR="00EA6166" w:rsidRPr="008964CE">
        <w:rPr>
          <w:rStyle w:val="Hyperlink"/>
          <w:color w:val="auto"/>
          <w:u w:val="none"/>
        </w:rPr>
        <w:t>some kids</w:t>
      </w:r>
      <w:r>
        <w:rPr>
          <w:rStyle w:val="Hyperlink"/>
          <w:color w:val="auto"/>
          <w:u w:val="none"/>
        </w:rPr>
        <w:t>”</w:t>
      </w:r>
      <w:r w:rsidR="00EA6166" w:rsidRPr="008964CE">
        <w:rPr>
          <w:rStyle w:val="Hyperlink"/>
          <w:color w:val="auto"/>
          <w:u w:val="none"/>
        </w:rPr>
        <w:t xml:space="preserve">, </w:t>
      </w:r>
      <w:r>
        <w:rPr>
          <w:rStyle w:val="Hyperlink"/>
          <w:color w:val="auto"/>
          <w:u w:val="none"/>
        </w:rPr>
        <w:t>many</w:t>
      </w:r>
      <w:r w:rsidR="00EA6166" w:rsidRPr="008964CE">
        <w:rPr>
          <w:rStyle w:val="Hyperlink"/>
          <w:color w:val="auto"/>
          <w:u w:val="none"/>
        </w:rPr>
        <w:t xml:space="preserve"> states are</w:t>
      </w:r>
      <w:r w:rsidR="00EA6166">
        <w:rPr>
          <w:rStyle w:val="Hyperlink"/>
          <w:color w:val="auto"/>
          <w:u w:val="none"/>
        </w:rPr>
        <w:t xml:space="preserve"> </w:t>
      </w:r>
      <w:r w:rsidR="00EA6166" w:rsidRPr="008964CE">
        <w:rPr>
          <w:rStyle w:val="Hyperlink"/>
          <w:color w:val="auto"/>
          <w:u w:val="none"/>
        </w:rPr>
        <w:t xml:space="preserve">using their vision and strategies </w:t>
      </w:r>
      <w:r w:rsidR="00F93355" w:rsidRPr="008964CE">
        <w:rPr>
          <w:rStyle w:val="Hyperlink"/>
          <w:color w:val="auto"/>
          <w:u w:val="none"/>
        </w:rPr>
        <w:t>to</w:t>
      </w:r>
      <w:r w:rsidR="00EA6166" w:rsidRPr="008964CE">
        <w:rPr>
          <w:rStyle w:val="Hyperlink"/>
          <w:color w:val="auto"/>
          <w:u w:val="none"/>
        </w:rPr>
        <w:t xml:space="preserve"> challenge the stigma of CTE through career guidance.</w:t>
      </w:r>
    </w:p>
    <w:p w14:paraId="1D1BC19A" w14:textId="4CDF023E" w:rsidR="00F93355" w:rsidRDefault="00F93355" w:rsidP="00EA6166">
      <w:pPr>
        <w:spacing w:after="0" w:line="240" w:lineRule="auto"/>
        <w:rPr>
          <w:rStyle w:val="Hyperlink"/>
          <w:color w:val="auto"/>
          <w:u w:val="none"/>
        </w:rPr>
      </w:pPr>
    </w:p>
    <w:p w14:paraId="2265E170" w14:textId="6BD6B5F3" w:rsidR="00F93355" w:rsidRDefault="00F93355" w:rsidP="00EA6166">
      <w:p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Does this fit into your vision and strategies?</w:t>
      </w:r>
    </w:p>
    <w:p w14:paraId="730C6ADC" w14:textId="77777777" w:rsidR="00EA6166" w:rsidRDefault="00EA6166" w:rsidP="00F26214">
      <w:pPr>
        <w:spacing w:after="0" w:line="240" w:lineRule="auto"/>
      </w:pPr>
    </w:p>
    <w:p w14:paraId="641611F4" w14:textId="683D955E" w:rsidR="00EA6166" w:rsidRDefault="00F26214" w:rsidP="00EA6166">
      <w:pPr>
        <w:spacing w:after="0" w:line="240" w:lineRule="auto"/>
      </w:pPr>
      <w:r w:rsidRPr="00D729FD">
        <w:rPr>
          <w:rFonts w:eastAsia="Calibri" w:cstheme="minorHAnsi"/>
        </w:rPr>
        <w:t xml:space="preserve">As you listen, </w:t>
      </w:r>
      <w:r w:rsidR="00EA6166" w:rsidRPr="00DB00FC">
        <w:t xml:space="preserve">think about </w:t>
      </w:r>
      <w:r w:rsidR="002D61A0">
        <w:t>strategies</w:t>
      </w:r>
      <w:r w:rsidR="00EA6166" w:rsidRPr="00DB00FC">
        <w:t xml:space="preserve"> that will work best to allow every student </w:t>
      </w:r>
      <w:r w:rsidR="00F93355">
        <w:t xml:space="preserve">in your state to </w:t>
      </w:r>
      <w:r w:rsidR="00EA6166" w:rsidRPr="00DB00FC">
        <w:t>find their path and connect</w:t>
      </w:r>
      <w:r w:rsidR="00F93355">
        <w:t xml:space="preserve"> </w:t>
      </w:r>
      <w:r w:rsidR="00EA6166" w:rsidRPr="00DB00FC">
        <w:t>to the right knowledge and skills, at the right time, for the right next step in</w:t>
      </w:r>
      <w:r w:rsidR="00F93355">
        <w:t xml:space="preserve"> their</w:t>
      </w:r>
      <w:r w:rsidR="00EA6166" w:rsidRPr="00DB00FC">
        <w:t xml:space="preserve"> life and career.</w:t>
      </w:r>
      <w:r w:rsidR="00EA6166">
        <w:t xml:space="preserve"> </w:t>
      </w:r>
    </w:p>
    <w:p w14:paraId="799C2676" w14:textId="4AF0BE97" w:rsidR="00F26214" w:rsidRDefault="00F26214" w:rsidP="003033AC">
      <w:pPr>
        <w:spacing w:after="0" w:line="240" w:lineRule="auto"/>
      </w:pPr>
    </w:p>
    <w:p w14:paraId="32A9BB0C" w14:textId="5B8CAE3E" w:rsidR="00D02EC9" w:rsidRDefault="00D02EC9" w:rsidP="003033AC">
      <w:pPr>
        <w:spacing w:after="0" w:line="240" w:lineRule="auto"/>
      </w:pPr>
      <w:r w:rsidRPr="00D02EC9">
        <w:t>Hi, I'm Matthew Stem,</w:t>
      </w:r>
      <w:r>
        <w:t xml:space="preserve"> </w:t>
      </w:r>
      <w:r w:rsidRPr="00D02EC9">
        <w:t>Deputy Secretary for the Office of Elementary and Secondary Education</w:t>
      </w:r>
      <w:r>
        <w:t xml:space="preserve"> </w:t>
      </w:r>
      <w:r w:rsidRPr="00D02EC9">
        <w:t>at the Pennsylvania Department of Education.</w:t>
      </w:r>
      <w:r>
        <w:t xml:space="preserve"> </w:t>
      </w:r>
      <w:r w:rsidRPr="00D02EC9">
        <w:t>On behalf of our Bureau of Career and Technical Education, I'd like to share information about PA Career Zone</w:t>
      </w:r>
      <w:r>
        <w:t xml:space="preserve"> </w:t>
      </w:r>
      <w:r w:rsidRPr="00D02EC9">
        <w:t>and how this resource supports Perkins V.</w:t>
      </w:r>
      <w:r>
        <w:t xml:space="preserve"> </w:t>
      </w:r>
      <w:r w:rsidRPr="00D02EC9">
        <w:t>PA Career Zone is a user-friendly, interactive web site</w:t>
      </w:r>
      <w:r>
        <w:t xml:space="preserve"> </w:t>
      </w:r>
      <w:r w:rsidRPr="00D02EC9">
        <w:t>that is supported by the Pennsylvania Department of Education and used by schools</w:t>
      </w:r>
      <w:r>
        <w:t xml:space="preserve"> </w:t>
      </w:r>
      <w:r w:rsidRPr="00D02EC9">
        <w:t>across the Commonwealth. This digital resource is free</w:t>
      </w:r>
      <w:r>
        <w:t xml:space="preserve"> </w:t>
      </w:r>
      <w:r w:rsidRPr="00D02EC9">
        <w:t>and can be used by elementary through high school students, as well as postsecondary job seekers</w:t>
      </w:r>
      <w:r>
        <w:t xml:space="preserve"> </w:t>
      </w:r>
      <w:r w:rsidRPr="00D02EC9">
        <w:t>who are interested in learning more about and exploring the</w:t>
      </w:r>
      <w:r>
        <w:t xml:space="preserve"> </w:t>
      </w:r>
      <w:r w:rsidRPr="00D02EC9">
        <w:t>variety of education and training opportunities, as well as careers available</w:t>
      </w:r>
      <w:r>
        <w:t xml:space="preserve"> </w:t>
      </w:r>
      <w:r w:rsidRPr="00D02EC9">
        <w:t>in business and industry across Pennsylvania.</w:t>
      </w:r>
      <w:r>
        <w:t xml:space="preserve"> </w:t>
      </w:r>
    </w:p>
    <w:p w14:paraId="35F3677F" w14:textId="77777777" w:rsidR="00D02EC9" w:rsidRDefault="00D02EC9" w:rsidP="003033AC">
      <w:pPr>
        <w:spacing w:after="0" w:line="240" w:lineRule="auto"/>
      </w:pPr>
    </w:p>
    <w:p w14:paraId="2EFE6E44" w14:textId="71D8FA52" w:rsidR="00D02EC9" w:rsidRDefault="00D02EC9" w:rsidP="003033AC">
      <w:pPr>
        <w:spacing w:after="0" w:line="240" w:lineRule="auto"/>
      </w:pPr>
      <w:r w:rsidRPr="00D02EC9">
        <w:t>PA Career Zone features brief surveys, reports, and a bunch of activities</w:t>
      </w:r>
      <w:r>
        <w:t xml:space="preserve"> </w:t>
      </w:r>
      <w:r w:rsidRPr="00D02EC9">
        <w:t>which I'd like to highlight that is particularly useful to students as they</w:t>
      </w:r>
      <w:r>
        <w:t xml:space="preserve"> </w:t>
      </w:r>
      <w:r w:rsidRPr="00D02EC9">
        <w:t>prepare to enter the workforce. Budget Your Life</w:t>
      </w:r>
      <w:r>
        <w:t xml:space="preserve"> </w:t>
      </w:r>
      <w:r w:rsidRPr="00D02EC9">
        <w:t>is a unique activity that helps students create a realistic budget,</w:t>
      </w:r>
      <w:r>
        <w:t xml:space="preserve"> </w:t>
      </w:r>
      <w:r w:rsidRPr="00D02EC9">
        <w:t>based upon their interests and anticipated salary. This eye-opening activity</w:t>
      </w:r>
      <w:r>
        <w:t xml:space="preserve"> </w:t>
      </w:r>
      <w:r w:rsidRPr="00D02EC9">
        <w:t>raises awareness of everyday costs and helps students develop a plan</w:t>
      </w:r>
      <w:r>
        <w:t xml:space="preserve"> </w:t>
      </w:r>
      <w:r w:rsidRPr="00D02EC9">
        <w:t>for financial stability and success. Learn more about Budget Your Life</w:t>
      </w:r>
      <w:r>
        <w:t xml:space="preserve"> </w:t>
      </w:r>
      <w:r w:rsidRPr="00D02EC9">
        <w:t>and take a look at all the resources PA Career Zone has to offer</w:t>
      </w:r>
      <w:r>
        <w:t xml:space="preserve"> </w:t>
      </w:r>
      <w:r w:rsidRPr="00D02EC9">
        <w:t xml:space="preserve">by going to </w:t>
      </w:r>
      <w:hyperlink r:id="rId8" w:history="1">
        <w:r w:rsidRPr="00CF3CB5">
          <w:rPr>
            <w:rStyle w:val="Hyperlink"/>
          </w:rPr>
          <w:t>www.pacareerzone.org</w:t>
        </w:r>
      </w:hyperlink>
      <w:r>
        <w:t>.</w:t>
      </w:r>
      <w:bookmarkStart w:id="0" w:name="_GoBack"/>
      <w:bookmarkEnd w:id="0"/>
    </w:p>
    <w:p w14:paraId="785D3829" w14:textId="77777777" w:rsidR="00D02EC9" w:rsidRDefault="00D02EC9" w:rsidP="003033AC">
      <w:pPr>
        <w:spacing w:after="0" w:line="240" w:lineRule="auto"/>
      </w:pPr>
    </w:p>
    <w:p w14:paraId="1D8D082F" w14:textId="4149F36A" w:rsidR="00F93355" w:rsidRDefault="00F26214" w:rsidP="00F93355">
      <w:r w:rsidRPr="00C109D0">
        <w:t>Please reach out to the Office of Career, Technical, and Adult Education if you have any questions.</w:t>
      </w:r>
    </w:p>
    <w:p w14:paraId="01B352BE" w14:textId="7297AD44" w:rsidR="00051B63" w:rsidRDefault="00051B63" w:rsidP="003033AC">
      <w:pPr>
        <w:spacing w:after="0" w:line="240" w:lineRule="auto"/>
      </w:pPr>
    </w:p>
    <w:sectPr w:rsidR="00051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50CD4"/>
    <w:multiLevelType w:val="hybridMultilevel"/>
    <w:tmpl w:val="A94A2712"/>
    <w:lvl w:ilvl="0" w:tplc="48B81C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629A8"/>
    <w:multiLevelType w:val="hybridMultilevel"/>
    <w:tmpl w:val="C19E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2A81"/>
    <w:multiLevelType w:val="multilevel"/>
    <w:tmpl w:val="9D0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AD26BA"/>
    <w:multiLevelType w:val="multilevel"/>
    <w:tmpl w:val="CCB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37CD4"/>
    <w:multiLevelType w:val="hybridMultilevel"/>
    <w:tmpl w:val="2D64B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84"/>
    <w:rsid w:val="00003D65"/>
    <w:rsid w:val="00005A41"/>
    <w:rsid w:val="00007D2B"/>
    <w:rsid w:val="00021685"/>
    <w:rsid w:val="000262B9"/>
    <w:rsid w:val="000458E4"/>
    <w:rsid w:val="00051B63"/>
    <w:rsid w:val="00056887"/>
    <w:rsid w:val="00077C82"/>
    <w:rsid w:val="00095F8C"/>
    <w:rsid w:val="000E4453"/>
    <w:rsid w:val="000E6A97"/>
    <w:rsid w:val="000F08BD"/>
    <w:rsid w:val="001340B4"/>
    <w:rsid w:val="0013586B"/>
    <w:rsid w:val="0014791D"/>
    <w:rsid w:val="00164945"/>
    <w:rsid w:val="00167FBA"/>
    <w:rsid w:val="001A7025"/>
    <w:rsid w:val="001C055B"/>
    <w:rsid w:val="001C2B30"/>
    <w:rsid w:val="001D1156"/>
    <w:rsid w:val="001D5C84"/>
    <w:rsid w:val="001E3663"/>
    <w:rsid w:val="001F3D0D"/>
    <w:rsid w:val="002262D8"/>
    <w:rsid w:val="00252CB4"/>
    <w:rsid w:val="00262A60"/>
    <w:rsid w:val="002676BA"/>
    <w:rsid w:val="0029322C"/>
    <w:rsid w:val="002D61A0"/>
    <w:rsid w:val="002D7C30"/>
    <w:rsid w:val="002E5651"/>
    <w:rsid w:val="00301F7A"/>
    <w:rsid w:val="003033AC"/>
    <w:rsid w:val="0032296B"/>
    <w:rsid w:val="003249E4"/>
    <w:rsid w:val="003858E6"/>
    <w:rsid w:val="00396C1A"/>
    <w:rsid w:val="003A7A54"/>
    <w:rsid w:val="003F2BAB"/>
    <w:rsid w:val="004007ED"/>
    <w:rsid w:val="00411031"/>
    <w:rsid w:val="00415024"/>
    <w:rsid w:val="00421E76"/>
    <w:rsid w:val="0045755E"/>
    <w:rsid w:val="004B25E0"/>
    <w:rsid w:val="004C2EED"/>
    <w:rsid w:val="004C2F5F"/>
    <w:rsid w:val="004E0DC2"/>
    <w:rsid w:val="004E2E97"/>
    <w:rsid w:val="005004A1"/>
    <w:rsid w:val="0051745A"/>
    <w:rsid w:val="00527607"/>
    <w:rsid w:val="00531871"/>
    <w:rsid w:val="00531C66"/>
    <w:rsid w:val="005353CF"/>
    <w:rsid w:val="00537BD2"/>
    <w:rsid w:val="005406A3"/>
    <w:rsid w:val="0056131D"/>
    <w:rsid w:val="00567476"/>
    <w:rsid w:val="005950C6"/>
    <w:rsid w:val="005D4033"/>
    <w:rsid w:val="005E13FA"/>
    <w:rsid w:val="005E6306"/>
    <w:rsid w:val="005E7275"/>
    <w:rsid w:val="0060250A"/>
    <w:rsid w:val="00615F8B"/>
    <w:rsid w:val="00623B86"/>
    <w:rsid w:val="0062613E"/>
    <w:rsid w:val="0064741D"/>
    <w:rsid w:val="006524C9"/>
    <w:rsid w:val="00654B0D"/>
    <w:rsid w:val="00676F14"/>
    <w:rsid w:val="006915F3"/>
    <w:rsid w:val="006A041D"/>
    <w:rsid w:val="006A13FD"/>
    <w:rsid w:val="006B28FB"/>
    <w:rsid w:val="006B5A01"/>
    <w:rsid w:val="006C31B6"/>
    <w:rsid w:val="006D64FA"/>
    <w:rsid w:val="006D67EE"/>
    <w:rsid w:val="00710B72"/>
    <w:rsid w:val="00715B9C"/>
    <w:rsid w:val="00726188"/>
    <w:rsid w:val="00735E88"/>
    <w:rsid w:val="00791288"/>
    <w:rsid w:val="007969AE"/>
    <w:rsid w:val="007D5B6A"/>
    <w:rsid w:val="007E43AB"/>
    <w:rsid w:val="0080552A"/>
    <w:rsid w:val="0082557B"/>
    <w:rsid w:val="00832F56"/>
    <w:rsid w:val="00842961"/>
    <w:rsid w:val="00854978"/>
    <w:rsid w:val="008561EF"/>
    <w:rsid w:val="00867519"/>
    <w:rsid w:val="008745A5"/>
    <w:rsid w:val="0088026C"/>
    <w:rsid w:val="008964CE"/>
    <w:rsid w:val="008B274F"/>
    <w:rsid w:val="008C1093"/>
    <w:rsid w:val="008D0930"/>
    <w:rsid w:val="008E466A"/>
    <w:rsid w:val="00922457"/>
    <w:rsid w:val="009407E0"/>
    <w:rsid w:val="009441A8"/>
    <w:rsid w:val="00954365"/>
    <w:rsid w:val="0095735D"/>
    <w:rsid w:val="00964D32"/>
    <w:rsid w:val="0096578F"/>
    <w:rsid w:val="009A1503"/>
    <w:rsid w:val="009B2933"/>
    <w:rsid w:val="009C0509"/>
    <w:rsid w:val="009D1F33"/>
    <w:rsid w:val="00A00842"/>
    <w:rsid w:val="00A014C5"/>
    <w:rsid w:val="00A03EB4"/>
    <w:rsid w:val="00A1252C"/>
    <w:rsid w:val="00A35426"/>
    <w:rsid w:val="00A40561"/>
    <w:rsid w:val="00A70DA0"/>
    <w:rsid w:val="00A84ADD"/>
    <w:rsid w:val="00A92FA3"/>
    <w:rsid w:val="00AD4CBB"/>
    <w:rsid w:val="00AD6CF1"/>
    <w:rsid w:val="00AE4CB7"/>
    <w:rsid w:val="00B00A9F"/>
    <w:rsid w:val="00B00DCC"/>
    <w:rsid w:val="00B03D3B"/>
    <w:rsid w:val="00B200C9"/>
    <w:rsid w:val="00B26554"/>
    <w:rsid w:val="00B32E7A"/>
    <w:rsid w:val="00B56007"/>
    <w:rsid w:val="00B61A95"/>
    <w:rsid w:val="00B66A68"/>
    <w:rsid w:val="00BE6276"/>
    <w:rsid w:val="00BF666A"/>
    <w:rsid w:val="00C032A2"/>
    <w:rsid w:val="00C05284"/>
    <w:rsid w:val="00C1046C"/>
    <w:rsid w:val="00C109D0"/>
    <w:rsid w:val="00C246B6"/>
    <w:rsid w:val="00C24AD8"/>
    <w:rsid w:val="00C30A60"/>
    <w:rsid w:val="00C40529"/>
    <w:rsid w:val="00C563CD"/>
    <w:rsid w:val="00C83F6C"/>
    <w:rsid w:val="00C90993"/>
    <w:rsid w:val="00C93A51"/>
    <w:rsid w:val="00CA0238"/>
    <w:rsid w:val="00CA7C4C"/>
    <w:rsid w:val="00CC3DF8"/>
    <w:rsid w:val="00CE3FDC"/>
    <w:rsid w:val="00CF62CC"/>
    <w:rsid w:val="00D02EC9"/>
    <w:rsid w:val="00D26BA6"/>
    <w:rsid w:val="00D3000B"/>
    <w:rsid w:val="00D35C1E"/>
    <w:rsid w:val="00D568E7"/>
    <w:rsid w:val="00D57C61"/>
    <w:rsid w:val="00D649BB"/>
    <w:rsid w:val="00D75120"/>
    <w:rsid w:val="00DA10A3"/>
    <w:rsid w:val="00DB00FC"/>
    <w:rsid w:val="00DB0D63"/>
    <w:rsid w:val="00DC60DA"/>
    <w:rsid w:val="00DC64D1"/>
    <w:rsid w:val="00DD4804"/>
    <w:rsid w:val="00DE3F26"/>
    <w:rsid w:val="00DF6F27"/>
    <w:rsid w:val="00DF6FBC"/>
    <w:rsid w:val="00E17158"/>
    <w:rsid w:val="00E21C25"/>
    <w:rsid w:val="00E33BAE"/>
    <w:rsid w:val="00E37910"/>
    <w:rsid w:val="00E37DE3"/>
    <w:rsid w:val="00E45B66"/>
    <w:rsid w:val="00E9298C"/>
    <w:rsid w:val="00E96086"/>
    <w:rsid w:val="00EA6166"/>
    <w:rsid w:val="00EC2B1D"/>
    <w:rsid w:val="00EE0D5A"/>
    <w:rsid w:val="00EE0E14"/>
    <w:rsid w:val="00EE54EF"/>
    <w:rsid w:val="00EE6F2A"/>
    <w:rsid w:val="00EF2EB5"/>
    <w:rsid w:val="00F24BE7"/>
    <w:rsid w:val="00F26214"/>
    <w:rsid w:val="00F33524"/>
    <w:rsid w:val="00F362B6"/>
    <w:rsid w:val="00F50CAC"/>
    <w:rsid w:val="00F62DB7"/>
    <w:rsid w:val="00F74554"/>
    <w:rsid w:val="00F8400B"/>
    <w:rsid w:val="00F900AE"/>
    <w:rsid w:val="00F93355"/>
    <w:rsid w:val="00FA3312"/>
    <w:rsid w:val="00FA4202"/>
    <w:rsid w:val="00FB7854"/>
    <w:rsid w:val="00FC0E4E"/>
    <w:rsid w:val="00FC0EA1"/>
    <w:rsid w:val="00FC305A"/>
    <w:rsid w:val="00FC4763"/>
    <w:rsid w:val="00FD01C6"/>
    <w:rsid w:val="00FD3219"/>
    <w:rsid w:val="00FD34A8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B9DE"/>
  <w15:docId w15:val="{A374CE37-7BBB-400E-AF53-5316F68F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528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E37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2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02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041D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6474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4741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2F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79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2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areerzon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B4EABB67B5A4D94AE8BF90CE60F2F" ma:contentTypeVersion="9" ma:contentTypeDescription="Create a new document." ma:contentTypeScope="" ma:versionID="58a2fd247b2bfd1544f359f5d864c683">
  <xsd:schema xmlns:xsd="http://www.w3.org/2001/XMLSchema" xmlns:xs="http://www.w3.org/2001/XMLSchema" xmlns:p="http://schemas.microsoft.com/office/2006/metadata/properties" xmlns:ns3="eddaa2f1-a9dd-4849-9a04-347060ce0430" xmlns:ns4="61c312c0-3e52-44e9-b72c-a554e91883e7" targetNamespace="http://schemas.microsoft.com/office/2006/metadata/properties" ma:root="true" ma:fieldsID="21258a3c8cf293554c30be92a48169f2" ns3:_="" ns4:_="">
    <xsd:import namespace="eddaa2f1-a9dd-4849-9a04-347060ce0430"/>
    <xsd:import namespace="61c312c0-3e52-44e9-b72c-a554e91883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aa2f1-a9dd-4849-9a04-347060ce0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312c0-3e52-44e9-b72c-a554e9188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4EF91-6C33-4367-99AC-70096C32D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C92D0-9FAD-440F-9FB5-481FA33DB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59723-3F49-45CD-8503-85AF31996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aa2f1-a9dd-4849-9a04-347060ce0430"/>
    <ds:schemaRef ds:uri="61c312c0-3e52-44e9-b72c-a554e9188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Pettey, Richard</dc:creator>
  <cp:lastModifiedBy>Kochevar, Janell</cp:lastModifiedBy>
  <cp:revision>2</cp:revision>
  <dcterms:created xsi:type="dcterms:W3CDTF">2019-09-26T21:23:00Z</dcterms:created>
  <dcterms:modified xsi:type="dcterms:W3CDTF">2019-09-26T21:23:00Z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0x010100933B4EABB67B5A4D94AE8BF90CE60F2F</vt:lpwstr>
  </property>
</Properties>
</file>