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D65F9" w14:textId="3503C5A1" w:rsidR="00D941AE" w:rsidRDefault="00D941AE" w:rsidP="00D941AE">
      <w:pPr>
        <w:pBdr>
          <w:bottom w:val="single" w:sz="4" w:space="1" w:color="auto"/>
        </w:pBdr>
        <w:spacing w:after="0" w:line="240" w:lineRule="auto"/>
        <w:rPr>
          <w:rFonts w:eastAsia="Calibri" w:cstheme="minorHAnsi"/>
        </w:rPr>
      </w:pPr>
      <w:r>
        <w:rPr>
          <w:rFonts w:eastAsia="Calibri" w:cstheme="minorHAnsi"/>
        </w:rPr>
        <w:t xml:space="preserve">Transcript – Perkins: </w:t>
      </w:r>
      <w:r>
        <w:rPr>
          <w:rFonts w:eastAsia="Calibri" w:cstheme="minorHAnsi"/>
        </w:rPr>
        <w:t>Comprehensive Local Needs Assessment</w:t>
      </w:r>
      <w:r>
        <w:rPr>
          <w:rFonts w:eastAsia="Calibri" w:cstheme="minorHAnsi"/>
        </w:rPr>
        <w:t xml:space="preserve"> (June </w:t>
      </w:r>
      <w:r>
        <w:rPr>
          <w:rFonts w:eastAsia="Calibri" w:cstheme="minorHAnsi"/>
        </w:rPr>
        <w:t>2</w:t>
      </w:r>
      <w:r>
        <w:rPr>
          <w:rFonts w:eastAsia="Calibri" w:cstheme="minorHAnsi"/>
        </w:rPr>
        <w:t>7, 2019)</w:t>
      </w:r>
    </w:p>
    <w:p w14:paraId="40ED79CF" w14:textId="77777777" w:rsidR="00D941AE" w:rsidRDefault="00D941AE" w:rsidP="00F11D15">
      <w:pPr>
        <w:spacing w:after="0" w:line="240" w:lineRule="auto"/>
        <w:rPr>
          <w:rFonts w:eastAsia="Calibri" w:cstheme="minorHAnsi"/>
          <w:bCs/>
        </w:rPr>
      </w:pPr>
    </w:p>
    <w:p w14:paraId="362486E5" w14:textId="7AF26A85" w:rsidR="00F11D15" w:rsidRDefault="00F11D15" w:rsidP="00F11D15">
      <w:pPr>
        <w:spacing w:after="0" w:line="240" w:lineRule="auto"/>
        <w:rPr>
          <w:rFonts w:eastAsia="Calibri" w:cstheme="minorHAnsi"/>
          <w:bCs/>
        </w:rPr>
      </w:pPr>
      <w:r w:rsidRPr="00D729FD">
        <w:rPr>
          <w:rFonts w:eastAsia="Calibri" w:cstheme="minorHAnsi"/>
          <w:bCs/>
        </w:rPr>
        <w:t>For the past twenty year</w:t>
      </w:r>
      <w:r>
        <w:rPr>
          <w:rFonts w:eastAsia="Calibri" w:cstheme="minorHAnsi"/>
          <w:bCs/>
        </w:rPr>
        <w:t>s</w:t>
      </w:r>
      <w:r w:rsidRPr="00D729FD">
        <w:rPr>
          <w:rFonts w:eastAsia="Calibri" w:cstheme="minorHAnsi"/>
          <w:bCs/>
        </w:rPr>
        <w:t xml:space="preserve">, there has been a widening gap between </w:t>
      </w:r>
      <w:r>
        <w:rPr>
          <w:rFonts w:eastAsia="Calibri" w:cstheme="minorHAnsi"/>
          <w:bCs/>
        </w:rPr>
        <w:t xml:space="preserve">the </w:t>
      </w:r>
      <w:r w:rsidRPr="00D729FD">
        <w:rPr>
          <w:rFonts w:eastAsia="Calibri" w:cstheme="minorHAnsi"/>
          <w:bCs/>
        </w:rPr>
        <w:t>education</w:t>
      </w:r>
      <w:r>
        <w:rPr>
          <w:rFonts w:eastAsia="Calibri" w:cstheme="minorHAnsi"/>
          <w:bCs/>
        </w:rPr>
        <w:t xml:space="preserve"> that students are acquiring </w:t>
      </w:r>
      <w:r w:rsidRPr="00D729FD">
        <w:rPr>
          <w:rFonts w:eastAsia="Calibri" w:cstheme="minorHAnsi"/>
          <w:bCs/>
        </w:rPr>
        <w:t xml:space="preserve">and the </w:t>
      </w:r>
      <w:r>
        <w:rPr>
          <w:rFonts w:eastAsia="Calibri" w:cstheme="minorHAnsi"/>
          <w:bCs/>
        </w:rPr>
        <w:t xml:space="preserve">needs of the </w:t>
      </w:r>
      <w:r w:rsidRPr="00D729FD">
        <w:rPr>
          <w:rFonts w:eastAsia="Calibri" w:cstheme="minorHAnsi"/>
          <w:bCs/>
        </w:rPr>
        <w:t xml:space="preserve">economy.  The skills that </w:t>
      </w:r>
      <w:r>
        <w:rPr>
          <w:rFonts w:eastAsia="Calibri" w:cstheme="minorHAnsi"/>
          <w:bCs/>
        </w:rPr>
        <w:t>many</w:t>
      </w:r>
      <w:r w:rsidRPr="00D729FD">
        <w:rPr>
          <w:rFonts w:eastAsia="Calibri" w:cstheme="minorHAnsi"/>
          <w:bCs/>
        </w:rPr>
        <w:t xml:space="preserve"> students are </w:t>
      </w:r>
      <w:r>
        <w:rPr>
          <w:rFonts w:eastAsia="Calibri" w:cstheme="minorHAnsi"/>
          <w:bCs/>
        </w:rPr>
        <w:t>receiving</w:t>
      </w:r>
      <w:r w:rsidRPr="00D729FD">
        <w:rPr>
          <w:rFonts w:eastAsia="Calibri" w:cstheme="minorHAnsi"/>
          <w:bCs/>
        </w:rPr>
        <w:t xml:space="preserve"> are not preparing them for the jobs that are available</w:t>
      </w:r>
      <w:r>
        <w:rPr>
          <w:rFonts w:eastAsia="Calibri" w:cstheme="minorHAnsi"/>
          <w:bCs/>
        </w:rPr>
        <w:t xml:space="preserve"> and in demand</w:t>
      </w:r>
      <w:r w:rsidRPr="00D729FD">
        <w:rPr>
          <w:rFonts w:eastAsia="Calibri" w:cstheme="minorHAnsi"/>
          <w:bCs/>
        </w:rPr>
        <w:t xml:space="preserve">.  Congress recognized this when they reauthorized </w:t>
      </w:r>
      <w:r>
        <w:rPr>
          <w:rFonts w:eastAsia="Calibri" w:cstheme="minorHAnsi"/>
          <w:bCs/>
        </w:rPr>
        <w:t xml:space="preserve">the Carl D. </w:t>
      </w:r>
      <w:r w:rsidRPr="00D729FD">
        <w:rPr>
          <w:rFonts w:eastAsia="Calibri" w:cstheme="minorHAnsi"/>
          <w:bCs/>
        </w:rPr>
        <w:t xml:space="preserve">Perkins </w:t>
      </w:r>
      <w:r>
        <w:rPr>
          <w:rFonts w:eastAsia="Calibri" w:cstheme="minorHAnsi"/>
          <w:bCs/>
        </w:rPr>
        <w:t xml:space="preserve">statute </w:t>
      </w:r>
      <w:r w:rsidRPr="00D729FD">
        <w:rPr>
          <w:rFonts w:eastAsia="Calibri" w:cstheme="minorHAnsi"/>
          <w:bCs/>
        </w:rPr>
        <w:t>in 2018.  Arguably</w:t>
      </w:r>
      <w:r>
        <w:rPr>
          <w:rFonts w:eastAsia="Calibri" w:cstheme="minorHAnsi"/>
          <w:bCs/>
        </w:rPr>
        <w:t>,</w:t>
      </w:r>
      <w:r w:rsidRPr="00D729FD">
        <w:rPr>
          <w:rFonts w:eastAsia="Calibri" w:cstheme="minorHAnsi"/>
          <w:bCs/>
        </w:rPr>
        <w:t xml:space="preserve"> the single biggest change between Perkins IV and Perkins V is the addition of a “comprehensive local needs assessment.</w:t>
      </w:r>
      <w:r>
        <w:rPr>
          <w:rFonts w:eastAsia="Calibri" w:cstheme="minorHAnsi"/>
          <w:bCs/>
        </w:rPr>
        <w:t>”</w:t>
      </w:r>
    </w:p>
    <w:p w14:paraId="3257C985" w14:textId="77777777" w:rsidR="00F11D15" w:rsidRPr="00D729FD" w:rsidRDefault="00F11D15" w:rsidP="00F11D15">
      <w:pPr>
        <w:spacing w:after="0" w:line="240" w:lineRule="auto"/>
        <w:rPr>
          <w:rFonts w:eastAsia="Calibri" w:cstheme="minorHAnsi"/>
          <w:bCs/>
        </w:rPr>
      </w:pPr>
    </w:p>
    <w:p w14:paraId="6CDAD459" w14:textId="77777777" w:rsidR="00F11D15" w:rsidRPr="00D729FD" w:rsidRDefault="00F11D15" w:rsidP="00F11D15">
      <w:pPr>
        <w:spacing w:after="0" w:line="240" w:lineRule="auto"/>
        <w:rPr>
          <w:rFonts w:ascii="Calibri" w:eastAsia="Times New Roman" w:hAnsi="Calibri" w:cs="Calibri"/>
          <w:color w:val="000000"/>
        </w:rPr>
      </w:pPr>
      <w:r w:rsidRPr="00D729FD">
        <w:rPr>
          <w:rFonts w:eastAsia="Calibri" w:cstheme="minorHAnsi"/>
          <w:bCs/>
        </w:rPr>
        <w:t xml:space="preserve">Section 134(c) describes the </w:t>
      </w:r>
      <w:r>
        <w:rPr>
          <w:rFonts w:eastAsia="Calibri" w:cstheme="minorHAnsi"/>
          <w:bCs/>
        </w:rPr>
        <w:t>C</w:t>
      </w:r>
      <w:r w:rsidRPr="00D729FD">
        <w:rPr>
          <w:rFonts w:eastAsia="Calibri" w:cstheme="minorHAnsi"/>
          <w:bCs/>
        </w:rPr>
        <w:t xml:space="preserve">omprehensive </w:t>
      </w:r>
      <w:r>
        <w:rPr>
          <w:rFonts w:eastAsia="Calibri" w:cstheme="minorHAnsi"/>
          <w:bCs/>
        </w:rPr>
        <w:t>L</w:t>
      </w:r>
      <w:r w:rsidRPr="00D729FD">
        <w:rPr>
          <w:rFonts w:eastAsia="Calibri" w:cstheme="minorHAnsi"/>
          <w:bCs/>
        </w:rPr>
        <w:t xml:space="preserve">ocal </w:t>
      </w:r>
      <w:r>
        <w:rPr>
          <w:rFonts w:eastAsia="Calibri" w:cstheme="minorHAnsi"/>
          <w:bCs/>
        </w:rPr>
        <w:t>N</w:t>
      </w:r>
      <w:r w:rsidRPr="00D729FD">
        <w:rPr>
          <w:rFonts w:eastAsia="Calibri" w:cstheme="minorHAnsi"/>
          <w:bCs/>
        </w:rPr>
        <w:t xml:space="preserve">eeds </w:t>
      </w:r>
      <w:r>
        <w:rPr>
          <w:rFonts w:eastAsia="Calibri" w:cstheme="minorHAnsi"/>
          <w:bCs/>
        </w:rPr>
        <w:t>A</w:t>
      </w:r>
      <w:r w:rsidRPr="00D729FD">
        <w:rPr>
          <w:rFonts w:eastAsia="Calibri" w:cstheme="minorHAnsi"/>
          <w:bCs/>
        </w:rPr>
        <w:t>ssessment that local applicants must conduct and update at least every two years and include in their local application</w:t>
      </w:r>
      <w:r>
        <w:rPr>
          <w:rFonts w:eastAsia="Calibri" w:cstheme="minorHAnsi"/>
          <w:bCs/>
        </w:rPr>
        <w:t>.</w:t>
      </w:r>
      <w:r w:rsidRPr="00D729FD">
        <w:rPr>
          <w:rFonts w:eastAsia="Calibri" w:cstheme="minorHAnsi"/>
          <w:bCs/>
        </w:rPr>
        <w:t xml:space="preserve">  The law requires eligible applicants </w:t>
      </w:r>
      <w:r>
        <w:rPr>
          <w:rFonts w:eastAsia="Calibri" w:cstheme="minorHAnsi"/>
          <w:bCs/>
        </w:rPr>
        <w:t xml:space="preserve">to describe </w:t>
      </w:r>
      <w:r w:rsidRPr="00D729FD">
        <w:rPr>
          <w:rFonts w:ascii="Calibri" w:eastAsia="Times New Roman" w:hAnsi="Calibri" w:cs="Calibri"/>
          <w:color w:val="000000"/>
        </w:rPr>
        <w:t>how their career and technical education programs ar</w:t>
      </w:r>
      <w:r>
        <w:rPr>
          <w:rFonts w:ascii="Calibri" w:eastAsia="Times New Roman" w:hAnsi="Calibri" w:cs="Calibri"/>
          <w:color w:val="000000"/>
        </w:rPr>
        <w:t xml:space="preserve">e </w:t>
      </w:r>
      <w:r w:rsidRPr="00D729FD">
        <w:rPr>
          <w:rFonts w:ascii="Calibri" w:eastAsia="Times New Roman" w:hAnsi="Calibri" w:cs="Calibri"/>
          <w:color w:val="000000"/>
        </w:rPr>
        <w:t>sufficient in size, scope, and quality to meet the needs of all students served by the eligible recipient; and aligned to State, regional, Tribal, or local in-demand industry sectors or occupations identified by the State workforce development board or local workforce development board, including career pathways, where appropriate; or are designed to meet local education or economic needs not identified by State boards or local workforce development boards.</w:t>
      </w:r>
    </w:p>
    <w:p w14:paraId="22113CCA" w14:textId="77777777" w:rsidR="00F11D15" w:rsidRPr="00D729FD" w:rsidRDefault="00F11D15" w:rsidP="00F11D15">
      <w:pPr>
        <w:spacing w:after="0" w:line="240" w:lineRule="auto"/>
        <w:rPr>
          <w:rFonts w:eastAsia="Calibri" w:cstheme="minorHAnsi"/>
          <w:bCs/>
        </w:rPr>
      </w:pPr>
    </w:p>
    <w:p w14:paraId="0A55DEF0" w14:textId="77777777" w:rsidR="00F11D15" w:rsidRPr="00D729FD" w:rsidRDefault="00F11D15" w:rsidP="00F11D15">
      <w:pPr>
        <w:spacing w:line="240" w:lineRule="auto"/>
        <w:rPr>
          <w:rFonts w:eastAsia="Calibri" w:cstheme="minorHAnsi"/>
          <w:bCs/>
        </w:rPr>
      </w:pPr>
      <w:r w:rsidRPr="00D729FD">
        <w:rPr>
          <w:rFonts w:eastAsia="Calibri" w:cstheme="minorHAnsi"/>
          <w:bCs/>
        </w:rPr>
        <w:t xml:space="preserve">As your state prepares to implement Perkins V, remember that the new Act offers greater flexibility than prior laws, and the Local Needs Assessment is no different:  </w:t>
      </w:r>
      <w:r w:rsidRPr="00D729FD">
        <w:t xml:space="preserve">States are given flexibility to set additional requirements for the contents and </w:t>
      </w:r>
      <w:r>
        <w:t>elements</w:t>
      </w:r>
      <w:r w:rsidRPr="00D729FD">
        <w:t xml:space="preserve"> of the local application</w:t>
      </w:r>
      <w:r w:rsidRPr="00D729FD">
        <w:rPr>
          <w:rFonts w:eastAsia="Calibri" w:cstheme="minorHAnsi"/>
          <w:bCs/>
        </w:rPr>
        <w:t>.   The Comprehensive Local Needs Assessment empowers states and local partners to meet learners’, educators’, and employers’ unique needs and promotes better alignment of CTE programs with state, regional, and local economic needs.</w:t>
      </w:r>
    </w:p>
    <w:p w14:paraId="1B565097" w14:textId="77777777" w:rsidR="00F11D15" w:rsidRPr="00D729FD" w:rsidRDefault="00F11D15" w:rsidP="00F11D15">
      <w:pPr>
        <w:pStyle w:val="EndnoteText"/>
        <w:rPr>
          <w:sz w:val="22"/>
          <w:szCs w:val="22"/>
        </w:rPr>
      </w:pPr>
      <w:r w:rsidRPr="00D729FD">
        <w:rPr>
          <w:rFonts w:eastAsia="Calibri" w:cstheme="minorHAnsi"/>
          <w:bCs/>
          <w:sz w:val="22"/>
          <w:szCs w:val="22"/>
        </w:rPr>
        <w:t xml:space="preserve">Additionally, </w:t>
      </w:r>
      <w:r w:rsidRPr="00D729FD">
        <w:rPr>
          <w:sz w:val="22"/>
          <w:szCs w:val="22"/>
        </w:rPr>
        <w:t xml:space="preserve">local recipients are required to engage </w:t>
      </w:r>
      <w:r>
        <w:rPr>
          <w:sz w:val="22"/>
          <w:szCs w:val="22"/>
        </w:rPr>
        <w:t>a diverse</w:t>
      </w:r>
      <w:r w:rsidRPr="00D729FD">
        <w:rPr>
          <w:sz w:val="22"/>
          <w:szCs w:val="22"/>
        </w:rPr>
        <w:t xml:space="preserve"> group of stakeholders in the development of the Comprehensive Needs Assessment.  States should support eligible applicants as they work to engage with these stakeholder groups over the next few months.</w:t>
      </w:r>
    </w:p>
    <w:p w14:paraId="595E7B8F" w14:textId="77777777" w:rsidR="00F11D15" w:rsidRPr="00D729FD" w:rsidRDefault="00F11D15" w:rsidP="00F11D15">
      <w:pPr>
        <w:spacing w:after="0" w:line="240" w:lineRule="auto"/>
        <w:rPr>
          <w:rFonts w:eastAsia="Calibri" w:cstheme="minorHAnsi"/>
          <w:bCs/>
        </w:rPr>
      </w:pPr>
    </w:p>
    <w:p w14:paraId="18B6FA76" w14:textId="77777777" w:rsidR="00F11D15" w:rsidRPr="00D729FD" w:rsidRDefault="00F11D15" w:rsidP="00F11D15">
      <w:pPr>
        <w:spacing w:after="0" w:line="240" w:lineRule="auto"/>
        <w:rPr>
          <w:rFonts w:eastAsia="Calibri" w:cstheme="minorHAnsi"/>
          <w:bCs/>
        </w:rPr>
      </w:pPr>
      <w:r w:rsidRPr="00D729FD">
        <w:rPr>
          <w:rFonts w:eastAsia="Calibri" w:cstheme="minorHAnsi"/>
          <w:bCs/>
        </w:rPr>
        <w:t>The Needs Assessment is</w:t>
      </w:r>
      <w:r>
        <w:rPr>
          <w:rFonts w:eastAsia="Calibri" w:cstheme="minorHAnsi"/>
          <w:bCs/>
        </w:rPr>
        <w:t xml:space="preserve"> undoubtedly</w:t>
      </w:r>
      <w:r w:rsidRPr="00D729FD">
        <w:rPr>
          <w:rFonts w:eastAsia="Calibri" w:cstheme="minorHAnsi"/>
          <w:bCs/>
        </w:rPr>
        <w:t xml:space="preserve"> the most critical component to Perkins V </w:t>
      </w:r>
      <w:r>
        <w:rPr>
          <w:rFonts w:eastAsia="Calibri" w:cstheme="minorHAnsi"/>
          <w:bCs/>
        </w:rPr>
        <w:t>local application</w:t>
      </w:r>
      <w:r w:rsidRPr="00D729FD">
        <w:rPr>
          <w:rFonts w:eastAsia="Calibri" w:cstheme="minorHAnsi"/>
          <w:bCs/>
        </w:rPr>
        <w:t xml:space="preserve">.  It is meant to be the </w:t>
      </w:r>
      <w:r>
        <w:rPr>
          <w:rFonts w:eastAsia="Calibri" w:cstheme="minorHAnsi"/>
          <w:bCs/>
        </w:rPr>
        <w:t xml:space="preserve">critical </w:t>
      </w:r>
      <w:r w:rsidRPr="00D729FD">
        <w:rPr>
          <w:rFonts w:eastAsia="Calibri" w:cstheme="minorHAnsi"/>
          <w:bCs/>
        </w:rPr>
        <w:t>foundation of the local application and the</w:t>
      </w:r>
      <w:r>
        <w:rPr>
          <w:rFonts w:eastAsia="Calibri" w:cstheme="minorHAnsi"/>
          <w:bCs/>
        </w:rPr>
        <w:t xml:space="preserve"> greatest</w:t>
      </w:r>
      <w:r w:rsidRPr="00D729FD">
        <w:rPr>
          <w:rFonts w:eastAsia="Calibri" w:cstheme="minorHAnsi"/>
          <w:bCs/>
        </w:rPr>
        <w:t xml:space="preserve"> determinant in the future spending </w:t>
      </w:r>
      <w:r>
        <w:rPr>
          <w:rFonts w:eastAsia="Calibri" w:cstheme="minorHAnsi"/>
          <w:bCs/>
        </w:rPr>
        <w:t>on career and technical education</w:t>
      </w:r>
      <w:r w:rsidRPr="00D729FD">
        <w:rPr>
          <w:rFonts w:eastAsia="Calibri" w:cstheme="minorHAnsi"/>
          <w:bCs/>
        </w:rPr>
        <w:t xml:space="preserve">.  </w:t>
      </w:r>
    </w:p>
    <w:p w14:paraId="3EB34EB8" w14:textId="77777777" w:rsidR="00F11D15" w:rsidRPr="00D729FD" w:rsidRDefault="00F11D15" w:rsidP="00F11D15">
      <w:pPr>
        <w:spacing w:after="0" w:line="240" w:lineRule="auto"/>
        <w:rPr>
          <w:rFonts w:eastAsia="Calibri" w:cstheme="minorHAnsi"/>
          <w:bCs/>
        </w:rPr>
      </w:pPr>
    </w:p>
    <w:p w14:paraId="7FDFB81D" w14:textId="77777777" w:rsidR="00F11D15" w:rsidRPr="00D729FD" w:rsidRDefault="00F11D15" w:rsidP="00F11D15">
      <w:pPr>
        <w:spacing w:after="0" w:line="240" w:lineRule="auto"/>
        <w:rPr>
          <w:rFonts w:eastAsia="Calibri" w:cstheme="minorHAnsi"/>
        </w:rPr>
      </w:pPr>
      <w:r w:rsidRPr="00D729FD">
        <w:rPr>
          <w:rFonts w:eastAsia="Calibri" w:cstheme="minorHAnsi"/>
        </w:rPr>
        <w:t xml:space="preserve">Today you’ll hear from </w:t>
      </w:r>
      <w:r>
        <w:rPr>
          <w:rFonts w:eastAsia="Calibri" w:cstheme="minorHAnsi"/>
        </w:rPr>
        <w:t xml:space="preserve">two </w:t>
      </w:r>
      <w:r w:rsidRPr="00D729FD">
        <w:rPr>
          <w:rFonts w:eastAsia="Calibri" w:cstheme="minorHAnsi"/>
        </w:rPr>
        <w:t>states who are each approaching the Comprehensive Local Needs Assessment differently.  We have also linked to the work that ACTE and Advance</w:t>
      </w:r>
      <w:r>
        <w:rPr>
          <w:rFonts w:eastAsia="Calibri" w:cstheme="minorHAnsi"/>
        </w:rPr>
        <w:t xml:space="preserve"> </w:t>
      </w:r>
      <w:r w:rsidRPr="00D729FD">
        <w:rPr>
          <w:rFonts w:eastAsia="Calibri" w:cstheme="minorHAnsi"/>
        </w:rPr>
        <w:t xml:space="preserve">CTE have done around the Local Needs Assessment in our Discussion Guide for this video.  </w:t>
      </w:r>
    </w:p>
    <w:p w14:paraId="44A7377B" w14:textId="77777777" w:rsidR="00F11D15" w:rsidRPr="00D729FD" w:rsidRDefault="00F11D15" w:rsidP="00F11D15">
      <w:pPr>
        <w:spacing w:after="0" w:line="240" w:lineRule="auto"/>
        <w:rPr>
          <w:rFonts w:eastAsia="Calibri" w:cstheme="minorHAnsi"/>
        </w:rPr>
      </w:pPr>
    </w:p>
    <w:p w14:paraId="5E0848C4" w14:textId="3DD814FB" w:rsidR="00F11D15" w:rsidRPr="00D729FD" w:rsidRDefault="00F11D15" w:rsidP="00F11D15">
      <w:pPr>
        <w:spacing w:after="0" w:line="240" w:lineRule="auto"/>
        <w:rPr>
          <w:rFonts w:eastAsia="Calibri" w:cstheme="minorHAnsi"/>
        </w:rPr>
      </w:pPr>
      <w:r w:rsidRPr="00D729FD">
        <w:rPr>
          <w:rFonts w:eastAsia="Calibri" w:cstheme="minorHAnsi"/>
        </w:rPr>
        <w:t xml:space="preserve">As you listen, think about </w:t>
      </w:r>
      <w:r>
        <w:rPr>
          <w:rFonts w:eastAsia="Calibri" w:cstheme="minorHAnsi"/>
        </w:rPr>
        <w:t>how</w:t>
      </w:r>
      <w:r w:rsidRPr="00D729FD">
        <w:rPr>
          <w:rFonts w:eastAsia="Calibri" w:cstheme="minorHAnsi"/>
        </w:rPr>
        <w:t xml:space="preserve"> the Comprehensive Local Needs Assessment </w:t>
      </w:r>
      <w:r w:rsidR="009500EB">
        <w:rPr>
          <w:rFonts w:eastAsia="Calibri" w:cstheme="minorHAnsi"/>
        </w:rPr>
        <w:t xml:space="preserve">and how it </w:t>
      </w:r>
      <w:r>
        <w:rPr>
          <w:rFonts w:eastAsia="Calibri" w:cstheme="minorHAnsi"/>
        </w:rPr>
        <w:t>can drive innovation and quality in your state</w:t>
      </w:r>
      <w:r w:rsidRPr="00D729FD">
        <w:rPr>
          <w:rFonts w:eastAsia="Calibri" w:cstheme="minorHAnsi"/>
        </w:rPr>
        <w:t>!</w:t>
      </w:r>
    </w:p>
    <w:p w14:paraId="7EDC744C" w14:textId="6CC1705A" w:rsidR="00F11D15" w:rsidRDefault="00F11D15" w:rsidP="00F11D15">
      <w:pPr>
        <w:spacing w:after="0" w:line="240" w:lineRule="auto"/>
        <w:rPr>
          <w:rFonts w:eastAsia="Calibri" w:cstheme="minorHAnsi"/>
        </w:rPr>
      </w:pPr>
    </w:p>
    <w:p w14:paraId="4B8DF393" w14:textId="77777777" w:rsidR="00D941AE" w:rsidRDefault="00D941AE" w:rsidP="00D941AE">
      <w:r>
        <w:t xml:space="preserve">Hello, I’m Barbara Wall the State Director for career tech and agricultural education in Georgia and I’m Bob Swiggum. I’m the chief information officer for the department of education here in Georgia. In the past, Perkins grant recipients have not been required to have a comprehensive needs assessment, while many of the other federal program have. Georgia has been moving from silos to other collaborative aligned work with other CNAs to where we have those combine into one comprehensive needs assessment. All federal programs besides Perkins are aligned with this one comprehensive needs assessment. With the reauthorization of Perkins, we are provided an opportunity to fully integrate CTAE into the CTE. Thus, allowing career tech and agriculture education to be at the table when LEAs are putting together their district plans. The comprehensive needs assessment will be part of Georgia’s </w:t>
      </w:r>
      <w:r>
        <w:lastRenderedPageBreak/>
        <w:t xml:space="preserve">Perkins V local application. Bob is going to give you a sneak peak of the collaborative work that has been done in this area so far. </w:t>
      </w:r>
    </w:p>
    <w:p w14:paraId="1FC638BA" w14:textId="77777777" w:rsidR="00D941AE" w:rsidRDefault="00D941AE" w:rsidP="00D941AE">
      <w:r>
        <w:t xml:space="preserve">We basically built a workflow for districts that districts can use to complete their title programs along with IDA program. So, what we are hoping now is that we can take that same program and leverage it for the CTA folks. There are really four components to this plan. The first component we call the collaboration component; and that’s really a sandbox, where people can go and put their documents in there and the entire district team can look at those documents, share that knowledge and do some heavy collaboration. The second component we call the data dashboard. It is a longitudinal view, and districts can go a look at all the data that we got inside the system for them. The third step is actually the comprehensive needs assessment, along with the district improvement plan. That is really a workflow to step them through to come out with a district improvement plan as the end result. The last piece is called the monitoring piece. They can do some self-monitoring with that. They can also do some monitoring at the state level. All of that is put together inside our SLDS system, so the districts already have access to all those tools. The hope is now to take all of those applications and be able to add the CTA programs to those applications so that everything will be in one spot. </w:t>
      </w:r>
    </w:p>
    <w:p w14:paraId="127B07BF" w14:textId="77777777" w:rsidR="00D941AE" w:rsidRDefault="00D941AE" w:rsidP="00D941AE">
      <w:r>
        <w:t>Thank you, Bob. Whether we are working specifically with the comprehensive needs assessment or the many other parts of Perkins V, I am encouraged about the collaboration that is required. As Paul Solarz stated, “Collaboration allows us to know more than we are capable of knowing by ourselves”. Thank you very much</w:t>
      </w:r>
    </w:p>
    <w:p w14:paraId="714ED25A" w14:textId="77777777" w:rsidR="00D941AE" w:rsidRDefault="00D941AE" w:rsidP="00D941AE">
      <w:r>
        <w:t xml:space="preserve">The Washington State Workforce Training and Education Coordinating Board, a state agency committed to sustaining Washington’s economic vitality through a highly skilled workforce is pleased to share how public data can be used to inform comprehensive local needs assessment that help align CTE programs with industry needs. </w:t>
      </w:r>
    </w:p>
    <w:p w14:paraId="77E8C5EC" w14:textId="77777777" w:rsidR="00D941AE" w:rsidRDefault="00D941AE" w:rsidP="00D941AE">
      <w:r>
        <w:t>The Workforce Board, as it is more com</w:t>
      </w:r>
      <w:bookmarkStart w:id="0" w:name="_GoBack"/>
      <w:bookmarkEnd w:id="0"/>
      <w:r>
        <w:t xml:space="preserve">monly called, relies on publicly available data from federal sources such as the US Census Bureau, the Bureau of Labor Statistics, and the Bureau of Economic Analysis to provide economic and demographic characteristics and trends at the state and local level. Analyzing this data can provide a rich context to helping understand important workforce and other challenges. The Workforce Boards state level partner agencies, such as the Employment Security Department, the Office of the Superintendent of Public Schools, and the Washington State Board for Community and Technical Colleges, as well as several others, provides administrative data used for monitoring and evaluating performance of training and education programs funded by state and federal dollars. Taken together, this data is used to measure performance outcomes of the state’s Workforce Development System. </w:t>
      </w:r>
    </w:p>
    <w:p w14:paraId="37FDD90F" w14:textId="77777777" w:rsidR="00D941AE" w:rsidRDefault="00D941AE" w:rsidP="00D941AE">
      <w:r>
        <w:t xml:space="preserve">Analyzing public and administrative data can explain how well training and education programs are responding to workforce challenges and provide key data driven insights for policy makers and program managers like those in career and technical education. For example, from a high level, we can see that Washington is performing better than any other state in terms of economic growth. However, this prosperity is not equitably shared across the state. Economic gains are concentrated in the top twenty </w:t>
      </w:r>
      <w:r>
        <w:lastRenderedPageBreak/>
        <w:t>percent of earners, with rural areas facing some of the highest levels of unemployment and poverty. The disconnected youth rate, the percent of people between the ages of 16 and 24 who are not in school and not working is another alarming statistic. Engaging youth, helping them navigate career options, and providing the necessary in-demand skills, are essential to closing the prosperity gap. Yakima County, for example, endures one of the highest disconnected youth rates in the state. By zooming in on Yakima County, we can get a more detailed looks as to which demographics are most at risk. But also, what education levels are correlated with success, and identify which industries are the biggest economic drivers. This information gives context to the administrative data, which records education and training outcomes of participants.</w:t>
      </w:r>
    </w:p>
    <w:p w14:paraId="207CE4B3" w14:textId="77777777" w:rsidR="00D941AE" w:rsidRDefault="00D941AE" w:rsidP="00D941AE">
      <w:r>
        <w:t xml:space="preserve">Washington State publishes annual workforce training results on a public dashboard for anyone to explore, enabling them to drill down to specific demographics and programs of interest. By developing these publicly available tools, the Washington State Workforce Board is empowering local leaders, program managers, and educators to take advantage of evidence-based practices. Outcomes for specific programs can be viewed from a regional level. Looking at secondary and postsecondary CTE, this data can illustrate how well these programs are helping to create a talent pipeline for industry. As seen here, post-secondary CTE programs and private career schools are providing pathways for careers in key industries in Yakima County. Besides showing where program participants end up working, it also shows outcomes by demographic measures, such as employment, or how much they earn after completing the program, or how much performance has changed over time. Making this data available and easily accessible, is not just important for transparency and accountability purposes, but is also useful for helping people make informed decisions about what programs they may choose to enroll in. </w:t>
      </w:r>
    </w:p>
    <w:p w14:paraId="725E6F1B" w14:textId="77777777" w:rsidR="00D941AE" w:rsidRDefault="00D941AE" w:rsidP="00D941AE">
      <w:r>
        <w:t xml:space="preserve">For example, the Washington State Workforce Board also hosts Career Bridge, an online resource that helps match students and job seekers interests with career opportunities, find out what jobs are in demand, and how well various education programs are able to deliver employment and earning outcomes. </w:t>
      </w:r>
    </w:p>
    <w:p w14:paraId="6CBE2BDB" w14:textId="1B9ED7A4" w:rsidR="00D941AE" w:rsidRPr="00D941AE" w:rsidRDefault="00D941AE" w:rsidP="00D941AE">
      <w:r>
        <w:t>Please visit us at our website at wtb.wa.gov to learn more about the Washington State Workforce Training and Education Coordinating Board. Thank you.</w:t>
      </w:r>
    </w:p>
    <w:p w14:paraId="2090E0DF" w14:textId="77777777" w:rsidR="00D941AE" w:rsidRPr="00D729FD" w:rsidRDefault="00D941AE" w:rsidP="00F11D15">
      <w:pPr>
        <w:spacing w:after="0" w:line="240" w:lineRule="auto"/>
        <w:rPr>
          <w:rFonts w:eastAsia="Calibri" w:cstheme="minorHAnsi"/>
        </w:rPr>
      </w:pPr>
    </w:p>
    <w:p w14:paraId="6A66736E" w14:textId="77777777" w:rsidR="00F11D15" w:rsidRPr="00D729FD" w:rsidRDefault="00F11D15" w:rsidP="00F11D15">
      <w:pPr>
        <w:rPr>
          <w:i/>
          <w:iCs/>
        </w:rPr>
      </w:pPr>
      <w:r w:rsidRPr="00D729FD">
        <w:rPr>
          <w:i/>
          <w:iCs/>
        </w:rPr>
        <w:t>Please reach out to the Office of Career, Technical, and Adult Education if you have any questions.</w:t>
      </w:r>
    </w:p>
    <w:p w14:paraId="2610EFDF" w14:textId="098CD477" w:rsidR="0047415E" w:rsidRPr="007238E5" w:rsidRDefault="0047415E" w:rsidP="00410E32"/>
    <w:sectPr w:rsidR="0047415E" w:rsidRPr="007238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F6B48" w14:textId="77777777" w:rsidR="003B05F3" w:rsidRDefault="003B05F3" w:rsidP="00762E46">
      <w:pPr>
        <w:spacing w:after="0" w:line="240" w:lineRule="auto"/>
      </w:pPr>
      <w:r>
        <w:separator/>
      </w:r>
    </w:p>
  </w:endnote>
  <w:endnote w:type="continuationSeparator" w:id="0">
    <w:p w14:paraId="4D7E9A5D" w14:textId="77777777" w:rsidR="003B05F3" w:rsidRDefault="003B05F3" w:rsidP="0076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99A33" w14:textId="77777777" w:rsidR="003B05F3" w:rsidRDefault="003B05F3" w:rsidP="00762E46">
      <w:pPr>
        <w:spacing w:after="0" w:line="240" w:lineRule="auto"/>
      </w:pPr>
      <w:r>
        <w:separator/>
      </w:r>
    </w:p>
  </w:footnote>
  <w:footnote w:type="continuationSeparator" w:id="0">
    <w:p w14:paraId="1C795061" w14:textId="77777777" w:rsidR="003B05F3" w:rsidRDefault="003B05F3" w:rsidP="0076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74B"/>
    <w:multiLevelType w:val="hybridMultilevel"/>
    <w:tmpl w:val="99D63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474D8"/>
    <w:multiLevelType w:val="hybridMultilevel"/>
    <w:tmpl w:val="A2CE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54745"/>
    <w:multiLevelType w:val="multilevel"/>
    <w:tmpl w:val="AE1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350CD4"/>
    <w:multiLevelType w:val="hybridMultilevel"/>
    <w:tmpl w:val="A94A2712"/>
    <w:lvl w:ilvl="0" w:tplc="48B81C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465BB"/>
    <w:multiLevelType w:val="hybridMultilevel"/>
    <w:tmpl w:val="2C32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4"/>
    <w:rsid w:val="00000587"/>
    <w:rsid w:val="00002170"/>
    <w:rsid w:val="00021685"/>
    <w:rsid w:val="000718B3"/>
    <w:rsid w:val="0008621D"/>
    <w:rsid w:val="00095F8C"/>
    <w:rsid w:val="000D3B5F"/>
    <w:rsid w:val="000D64C3"/>
    <w:rsid w:val="000D7E4B"/>
    <w:rsid w:val="000E529C"/>
    <w:rsid w:val="000F0702"/>
    <w:rsid w:val="00117C5E"/>
    <w:rsid w:val="0014248C"/>
    <w:rsid w:val="00157FC1"/>
    <w:rsid w:val="001635B0"/>
    <w:rsid w:val="00176A08"/>
    <w:rsid w:val="0018772F"/>
    <w:rsid w:val="00187CA7"/>
    <w:rsid w:val="001967AF"/>
    <w:rsid w:val="001C2B30"/>
    <w:rsid w:val="001F254A"/>
    <w:rsid w:val="00206D18"/>
    <w:rsid w:val="00223F4C"/>
    <w:rsid w:val="0025293B"/>
    <w:rsid w:val="00262B8C"/>
    <w:rsid w:val="002C0EF4"/>
    <w:rsid w:val="002E4594"/>
    <w:rsid w:val="002E5651"/>
    <w:rsid w:val="002F11C5"/>
    <w:rsid w:val="003033AC"/>
    <w:rsid w:val="00351E30"/>
    <w:rsid w:val="0035504C"/>
    <w:rsid w:val="00367737"/>
    <w:rsid w:val="00380BC6"/>
    <w:rsid w:val="00382D36"/>
    <w:rsid w:val="003A7A54"/>
    <w:rsid w:val="003B05F3"/>
    <w:rsid w:val="003B6F71"/>
    <w:rsid w:val="003C4BB2"/>
    <w:rsid w:val="003D3D7C"/>
    <w:rsid w:val="003F4518"/>
    <w:rsid w:val="004007ED"/>
    <w:rsid w:val="00410E32"/>
    <w:rsid w:val="0042625B"/>
    <w:rsid w:val="0047415E"/>
    <w:rsid w:val="00490C7A"/>
    <w:rsid w:val="004A0415"/>
    <w:rsid w:val="004B28DB"/>
    <w:rsid w:val="004C2EED"/>
    <w:rsid w:val="004D1C8D"/>
    <w:rsid w:val="00503C83"/>
    <w:rsid w:val="00527607"/>
    <w:rsid w:val="00531871"/>
    <w:rsid w:val="005353CF"/>
    <w:rsid w:val="005406A3"/>
    <w:rsid w:val="005631F3"/>
    <w:rsid w:val="00572EFB"/>
    <w:rsid w:val="005C6DD7"/>
    <w:rsid w:val="005E13FA"/>
    <w:rsid w:val="005E157D"/>
    <w:rsid w:val="0060250A"/>
    <w:rsid w:val="00623B86"/>
    <w:rsid w:val="00645AB5"/>
    <w:rsid w:val="00654B0D"/>
    <w:rsid w:val="00681AFD"/>
    <w:rsid w:val="00682FE0"/>
    <w:rsid w:val="00693B5E"/>
    <w:rsid w:val="006A52A1"/>
    <w:rsid w:val="006B28FB"/>
    <w:rsid w:val="006D11A8"/>
    <w:rsid w:val="006D3B12"/>
    <w:rsid w:val="006E10EC"/>
    <w:rsid w:val="007013D7"/>
    <w:rsid w:val="00703BA1"/>
    <w:rsid w:val="00715B9C"/>
    <w:rsid w:val="007238E5"/>
    <w:rsid w:val="00755138"/>
    <w:rsid w:val="007562B2"/>
    <w:rsid w:val="00762E46"/>
    <w:rsid w:val="007758F8"/>
    <w:rsid w:val="00790288"/>
    <w:rsid w:val="007D4718"/>
    <w:rsid w:val="007E43AB"/>
    <w:rsid w:val="007F6327"/>
    <w:rsid w:val="00802A70"/>
    <w:rsid w:val="00806D8D"/>
    <w:rsid w:val="00827EC6"/>
    <w:rsid w:val="0085440C"/>
    <w:rsid w:val="00854978"/>
    <w:rsid w:val="00860955"/>
    <w:rsid w:val="0086230C"/>
    <w:rsid w:val="008745A5"/>
    <w:rsid w:val="00876A30"/>
    <w:rsid w:val="0088026C"/>
    <w:rsid w:val="008A360F"/>
    <w:rsid w:val="008C1093"/>
    <w:rsid w:val="008C5E3D"/>
    <w:rsid w:val="008D31FC"/>
    <w:rsid w:val="008D65BE"/>
    <w:rsid w:val="008E5DD4"/>
    <w:rsid w:val="00902ACD"/>
    <w:rsid w:val="00922457"/>
    <w:rsid w:val="0092494B"/>
    <w:rsid w:val="00927373"/>
    <w:rsid w:val="009407E0"/>
    <w:rsid w:val="009500EB"/>
    <w:rsid w:val="00964D32"/>
    <w:rsid w:val="00972688"/>
    <w:rsid w:val="009A1503"/>
    <w:rsid w:val="009D527C"/>
    <w:rsid w:val="009F0B8A"/>
    <w:rsid w:val="009F60B4"/>
    <w:rsid w:val="009F6EC8"/>
    <w:rsid w:val="00A56F5E"/>
    <w:rsid w:val="00A70DA0"/>
    <w:rsid w:val="00A84ADD"/>
    <w:rsid w:val="00A93B3D"/>
    <w:rsid w:val="00A94458"/>
    <w:rsid w:val="00AA1CCA"/>
    <w:rsid w:val="00B00A9F"/>
    <w:rsid w:val="00B00DCC"/>
    <w:rsid w:val="00B03D3B"/>
    <w:rsid w:val="00B04710"/>
    <w:rsid w:val="00B06722"/>
    <w:rsid w:val="00B2197D"/>
    <w:rsid w:val="00B625D2"/>
    <w:rsid w:val="00B7392B"/>
    <w:rsid w:val="00B77918"/>
    <w:rsid w:val="00BA21B1"/>
    <w:rsid w:val="00BC47A7"/>
    <w:rsid w:val="00BF666A"/>
    <w:rsid w:val="00C05284"/>
    <w:rsid w:val="00C1046C"/>
    <w:rsid w:val="00C1326E"/>
    <w:rsid w:val="00C246B6"/>
    <w:rsid w:val="00C3518E"/>
    <w:rsid w:val="00C50802"/>
    <w:rsid w:val="00C56735"/>
    <w:rsid w:val="00C75DA3"/>
    <w:rsid w:val="00C90DD5"/>
    <w:rsid w:val="00CA7C4C"/>
    <w:rsid w:val="00CB15D7"/>
    <w:rsid w:val="00CE20EA"/>
    <w:rsid w:val="00D03EE3"/>
    <w:rsid w:val="00D11E66"/>
    <w:rsid w:val="00D35C1E"/>
    <w:rsid w:val="00D4259D"/>
    <w:rsid w:val="00D729FD"/>
    <w:rsid w:val="00D75120"/>
    <w:rsid w:val="00D772AB"/>
    <w:rsid w:val="00D80725"/>
    <w:rsid w:val="00D92FCF"/>
    <w:rsid w:val="00D93C67"/>
    <w:rsid w:val="00D941AE"/>
    <w:rsid w:val="00DC1053"/>
    <w:rsid w:val="00DC64D1"/>
    <w:rsid w:val="00DF6F27"/>
    <w:rsid w:val="00DF6FBC"/>
    <w:rsid w:val="00E17825"/>
    <w:rsid w:val="00E33CF5"/>
    <w:rsid w:val="00E45B66"/>
    <w:rsid w:val="00E62058"/>
    <w:rsid w:val="00E7420A"/>
    <w:rsid w:val="00E93E25"/>
    <w:rsid w:val="00E96086"/>
    <w:rsid w:val="00EE0D5A"/>
    <w:rsid w:val="00F11D15"/>
    <w:rsid w:val="00F4756B"/>
    <w:rsid w:val="00F50CAC"/>
    <w:rsid w:val="00F74554"/>
    <w:rsid w:val="00F76B21"/>
    <w:rsid w:val="00F86B14"/>
    <w:rsid w:val="00F900AE"/>
    <w:rsid w:val="00FA3312"/>
    <w:rsid w:val="00FD7D36"/>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B9DE"/>
  <w15:docId w15:val="{A374CE37-7BBB-400E-AF53-5316F68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284"/>
    <w:rPr>
      <w:color w:val="0563C1" w:themeColor="hyperlink"/>
      <w:u w:val="single"/>
    </w:rPr>
  </w:style>
  <w:style w:type="paragraph" w:styleId="BalloonText">
    <w:name w:val="Balloon Text"/>
    <w:basedOn w:val="Normal"/>
    <w:link w:val="BalloonTextChar"/>
    <w:uiPriority w:val="99"/>
    <w:semiHidden/>
    <w:unhideWhenUsed/>
    <w:rsid w:val="000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8C"/>
    <w:rPr>
      <w:rFonts w:ascii="Segoe UI" w:hAnsi="Segoe UI" w:cs="Segoe UI"/>
      <w:sz w:val="18"/>
      <w:szCs w:val="18"/>
    </w:rPr>
  </w:style>
  <w:style w:type="character" w:styleId="CommentReference">
    <w:name w:val="annotation reference"/>
    <w:basedOn w:val="DefaultParagraphFont"/>
    <w:uiPriority w:val="99"/>
    <w:semiHidden/>
    <w:unhideWhenUsed/>
    <w:rsid w:val="00922457"/>
    <w:rPr>
      <w:sz w:val="16"/>
      <w:szCs w:val="16"/>
    </w:rPr>
  </w:style>
  <w:style w:type="paragraph" w:styleId="CommentText">
    <w:name w:val="annotation text"/>
    <w:basedOn w:val="Normal"/>
    <w:link w:val="CommentTextChar"/>
    <w:uiPriority w:val="99"/>
    <w:semiHidden/>
    <w:unhideWhenUsed/>
    <w:rsid w:val="00922457"/>
    <w:pPr>
      <w:spacing w:line="240" w:lineRule="auto"/>
    </w:pPr>
    <w:rPr>
      <w:sz w:val="20"/>
      <w:szCs w:val="20"/>
    </w:rPr>
  </w:style>
  <w:style w:type="character" w:customStyle="1" w:styleId="CommentTextChar">
    <w:name w:val="Comment Text Char"/>
    <w:basedOn w:val="DefaultParagraphFont"/>
    <w:link w:val="CommentText"/>
    <w:uiPriority w:val="99"/>
    <w:semiHidden/>
    <w:rsid w:val="00922457"/>
    <w:rPr>
      <w:sz w:val="20"/>
      <w:szCs w:val="20"/>
    </w:rPr>
  </w:style>
  <w:style w:type="paragraph" w:styleId="CommentSubject">
    <w:name w:val="annotation subject"/>
    <w:basedOn w:val="CommentText"/>
    <w:next w:val="CommentText"/>
    <w:link w:val="CommentSubjectChar"/>
    <w:uiPriority w:val="99"/>
    <w:semiHidden/>
    <w:unhideWhenUsed/>
    <w:rsid w:val="00922457"/>
    <w:rPr>
      <w:b/>
      <w:bCs/>
    </w:rPr>
  </w:style>
  <w:style w:type="character" w:customStyle="1" w:styleId="CommentSubjectChar">
    <w:name w:val="Comment Subject Char"/>
    <w:basedOn w:val="CommentTextChar"/>
    <w:link w:val="CommentSubject"/>
    <w:uiPriority w:val="99"/>
    <w:semiHidden/>
    <w:rsid w:val="00922457"/>
    <w:rPr>
      <w:b/>
      <w:bCs/>
      <w:sz w:val="20"/>
      <w:szCs w:val="20"/>
    </w:rPr>
  </w:style>
  <w:style w:type="paragraph" w:styleId="ListParagraph">
    <w:name w:val="List Paragraph"/>
    <w:basedOn w:val="Normal"/>
    <w:uiPriority w:val="34"/>
    <w:qFormat/>
    <w:rsid w:val="0088026C"/>
    <w:pPr>
      <w:ind w:left="720"/>
      <w:contextualSpacing/>
    </w:pPr>
  </w:style>
  <w:style w:type="paragraph" w:styleId="EndnoteText">
    <w:name w:val="endnote text"/>
    <w:basedOn w:val="Normal"/>
    <w:link w:val="EndnoteTextChar"/>
    <w:uiPriority w:val="99"/>
    <w:unhideWhenUsed/>
    <w:rsid w:val="00762E46"/>
    <w:pPr>
      <w:spacing w:after="0" w:line="240" w:lineRule="auto"/>
    </w:pPr>
    <w:rPr>
      <w:sz w:val="20"/>
      <w:szCs w:val="20"/>
    </w:rPr>
  </w:style>
  <w:style w:type="character" w:customStyle="1" w:styleId="EndnoteTextChar">
    <w:name w:val="Endnote Text Char"/>
    <w:basedOn w:val="DefaultParagraphFont"/>
    <w:link w:val="EndnoteText"/>
    <w:uiPriority w:val="99"/>
    <w:rsid w:val="00762E46"/>
    <w:rPr>
      <w:sz w:val="20"/>
      <w:szCs w:val="20"/>
    </w:rPr>
  </w:style>
  <w:style w:type="character" w:styleId="EndnoteReference">
    <w:name w:val="endnote reference"/>
    <w:basedOn w:val="DefaultParagraphFont"/>
    <w:uiPriority w:val="99"/>
    <w:semiHidden/>
    <w:unhideWhenUsed/>
    <w:rsid w:val="00762E46"/>
    <w:rPr>
      <w:vertAlign w:val="superscript"/>
    </w:rPr>
  </w:style>
  <w:style w:type="character" w:styleId="UnresolvedMention">
    <w:name w:val="Unresolved Mention"/>
    <w:basedOn w:val="DefaultParagraphFont"/>
    <w:uiPriority w:val="99"/>
    <w:semiHidden/>
    <w:unhideWhenUsed/>
    <w:rsid w:val="000D3B5F"/>
    <w:rPr>
      <w:color w:val="605E5C"/>
      <w:shd w:val="clear" w:color="auto" w:fill="E1DFDD"/>
    </w:rPr>
  </w:style>
  <w:style w:type="paragraph" w:styleId="NormalWeb">
    <w:name w:val="Normal (Web)"/>
    <w:basedOn w:val="Normal"/>
    <w:uiPriority w:val="99"/>
    <w:semiHidden/>
    <w:unhideWhenUsed/>
    <w:rsid w:val="000D3B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3065">
      <w:bodyDiv w:val="1"/>
      <w:marLeft w:val="0"/>
      <w:marRight w:val="0"/>
      <w:marTop w:val="0"/>
      <w:marBottom w:val="0"/>
      <w:divBdr>
        <w:top w:val="none" w:sz="0" w:space="0" w:color="auto"/>
        <w:left w:val="none" w:sz="0" w:space="0" w:color="auto"/>
        <w:bottom w:val="none" w:sz="0" w:space="0" w:color="auto"/>
        <w:right w:val="none" w:sz="0" w:space="0" w:color="auto"/>
      </w:divBdr>
    </w:div>
    <w:div w:id="330915954">
      <w:bodyDiv w:val="1"/>
      <w:marLeft w:val="0"/>
      <w:marRight w:val="0"/>
      <w:marTop w:val="0"/>
      <w:marBottom w:val="0"/>
      <w:divBdr>
        <w:top w:val="none" w:sz="0" w:space="0" w:color="auto"/>
        <w:left w:val="none" w:sz="0" w:space="0" w:color="auto"/>
        <w:bottom w:val="none" w:sz="0" w:space="0" w:color="auto"/>
        <w:right w:val="none" w:sz="0" w:space="0" w:color="auto"/>
      </w:divBdr>
    </w:div>
    <w:div w:id="339621672">
      <w:bodyDiv w:val="1"/>
      <w:marLeft w:val="0"/>
      <w:marRight w:val="0"/>
      <w:marTop w:val="0"/>
      <w:marBottom w:val="0"/>
      <w:divBdr>
        <w:top w:val="none" w:sz="0" w:space="0" w:color="auto"/>
        <w:left w:val="none" w:sz="0" w:space="0" w:color="auto"/>
        <w:bottom w:val="none" w:sz="0" w:space="0" w:color="auto"/>
        <w:right w:val="none" w:sz="0" w:space="0" w:color="auto"/>
      </w:divBdr>
    </w:div>
    <w:div w:id="905454938">
      <w:bodyDiv w:val="1"/>
      <w:marLeft w:val="0"/>
      <w:marRight w:val="0"/>
      <w:marTop w:val="0"/>
      <w:marBottom w:val="0"/>
      <w:divBdr>
        <w:top w:val="none" w:sz="0" w:space="0" w:color="auto"/>
        <w:left w:val="none" w:sz="0" w:space="0" w:color="auto"/>
        <w:bottom w:val="none" w:sz="0" w:space="0" w:color="auto"/>
        <w:right w:val="none" w:sz="0" w:space="0" w:color="auto"/>
      </w:divBdr>
    </w:div>
    <w:div w:id="2052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42E1-3512-2B47-9D11-848DA2AB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Sharon Lee</dc:creator>
  <cp:lastModifiedBy>Kochevar, Janell</cp:lastModifiedBy>
  <cp:revision>3</cp:revision>
  <dcterms:created xsi:type="dcterms:W3CDTF">2019-06-27T17:23:00Z</dcterms:created>
  <dcterms:modified xsi:type="dcterms:W3CDTF">2019-06-27T17:24:00Z</dcterms:modified>
</cp:coreProperties>
</file>