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B8A533" w14:textId="28E73B0C" w:rsidR="0032650B" w:rsidRPr="00EB6A34" w:rsidRDefault="0032650B" w:rsidP="00EB6A34">
      <w:pPr>
        <w:pBdr>
          <w:bottom w:val="single" w:sz="4" w:space="1" w:color="auto"/>
        </w:pBdr>
      </w:pPr>
      <w:r>
        <w:t>Transcript – Perkins: Leveraging the Use of the Reserve Fund</w:t>
      </w:r>
      <w:r w:rsidR="00EB6A34">
        <w:t xml:space="preserve"> (May 30, 2019)</w:t>
      </w:r>
    </w:p>
    <w:p w14:paraId="3E2D2A92" w14:textId="609D1EEF" w:rsidR="00654B0D" w:rsidRPr="00021685" w:rsidRDefault="00654B0D" w:rsidP="00654B0D">
      <w:pPr>
        <w:spacing w:line="240" w:lineRule="auto"/>
        <w:rPr>
          <w:rFonts w:eastAsia="Calibri" w:cstheme="minorHAnsi"/>
          <w:bCs/>
        </w:rPr>
      </w:pPr>
      <w:r w:rsidRPr="00021685">
        <w:rPr>
          <w:rFonts w:eastAsia="Calibri" w:cstheme="minorHAnsi"/>
          <w:bCs/>
        </w:rPr>
        <w:t xml:space="preserve">As your state </w:t>
      </w:r>
      <w:r w:rsidR="003A7A54" w:rsidRPr="00021685">
        <w:rPr>
          <w:rFonts w:eastAsia="Calibri" w:cstheme="minorHAnsi"/>
          <w:bCs/>
        </w:rPr>
        <w:t>prepares</w:t>
      </w:r>
      <w:r w:rsidRPr="00021685">
        <w:rPr>
          <w:rFonts w:eastAsia="Calibri" w:cstheme="minorHAnsi"/>
          <w:bCs/>
        </w:rPr>
        <w:t xml:space="preserve"> to implement Perkins V, remember that the new Act offers greater flexibility than prior laws. The </w:t>
      </w:r>
      <w:r w:rsidR="00FA3312" w:rsidRPr="00021685">
        <w:rPr>
          <w:rFonts w:eastAsia="Calibri" w:cstheme="minorHAnsi"/>
          <w:bCs/>
        </w:rPr>
        <w:t>revised</w:t>
      </w:r>
      <w:r w:rsidRPr="00021685">
        <w:rPr>
          <w:rFonts w:eastAsia="Calibri" w:cstheme="minorHAnsi"/>
          <w:bCs/>
        </w:rPr>
        <w:t xml:space="preserve"> language empowers states and local partners to meet learners’, educators’, and employers’ unique needs</w:t>
      </w:r>
      <w:r w:rsidR="003A7A54" w:rsidRPr="00021685">
        <w:rPr>
          <w:rFonts w:eastAsia="Calibri" w:cstheme="minorHAnsi"/>
          <w:bCs/>
        </w:rPr>
        <w:t xml:space="preserve"> and</w:t>
      </w:r>
      <w:r w:rsidRPr="00021685">
        <w:rPr>
          <w:rFonts w:eastAsia="Calibri" w:cstheme="minorHAnsi"/>
          <w:bCs/>
        </w:rPr>
        <w:t xml:space="preserve"> </w:t>
      </w:r>
      <w:r w:rsidR="003A7A54" w:rsidRPr="00021685">
        <w:rPr>
          <w:rFonts w:eastAsia="Calibri" w:cstheme="minorHAnsi"/>
          <w:bCs/>
        </w:rPr>
        <w:t xml:space="preserve">promotes </w:t>
      </w:r>
      <w:r w:rsidRPr="00021685">
        <w:rPr>
          <w:rFonts w:eastAsia="Calibri" w:cstheme="minorHAnsi"/>
          <w:bCs/>
        </w:rPr>
        <w:t>better align</w:t>
      </w:r>
      <w:bookmarkStart w:id="0" w:name="_GoBack"/>
      <w:bookmarkEnd w:id="0"/>
      <w:r w:rsidRPr="00021685">
        <w:rPr>
          <w:rFonts w:eastAsia="Calibri" w:cstheme="minorHAnsi"/>
          <w:bCs/>
        </w:rPr>
        <w:t>ment of CTE programs with state, regional, and local economic needs.</w:t>
      </w:r>
    </w:p>
    <w:p w14:paraId="76403012" w14:textId="352C8DFF" w:rsidR="006B28FB" w:rsidRDefault="00FA3312" w:rsidP="00623B86">
      <w:pPr>
        <w:spacing w:after="0" w:line="240" w:lineRule="auto"/>
        <w:rPr>
          <w:rFonts w:eastAsia="Calibri" w:cstheme="minorHAnsi"/>
        </w:rPr>
      </w:pPr>
      <w:r w:rsidRPr="00021685">
        <w:rPr>
          <w:rFonts w:eastAsia="Calibri" w:cstheme="minorHAnsi"/>
        </w:rPr>
        <w:t xml:space="preserve">Congress recognized </w:t>
      </w:r>
      <w:r w:rsidR="00D35C1E">
        <w:rPr>
          <w:rFonts w:eastAsia="Calibri" w:cstheme="minorHAnsi"/>
        </w:rPr>
        <w:t xml:space="preserve">that all states do not have the same needs </w:t>
      </w:r>
      <w:r w:rsidR="006B28FB">
        <w:rPr>
          <w:rFonts w:eastAsia="Calibri" w:cstheme="minorHAnsi"/>
        </w:rPr>
        <w:t>and that it could help your state more effectively implement Perkins if you had some additional flexibilities with the funds. That is where the reserve fund can be used. Your state can set aside up to 15% of your</w:t>
      </w:r>
      <w:r w:rsidR="00964D32">
        <w:rPr>
          <w:rFonts w:eastAsia="Calibri" w:cstheme="minorHAnsi"/>
        </w:rPr>
        <w:t xml:space="preserve"> state allocation </w:t>
      </w:r>
      <w:r w:rsidR="006B28FB">
        <w:rPr>
          <w:rFonts w:eastAsia="Calibri" w:cstheme="minorHAnsi"/>
        </w:rPr>
        <w:t>for a “reserve fund”.</w:t>
      </w:r>
      <w:r w:rsidR="001C2B30">
        <w:rPr>
          <w:rFonts w:eastAsia="Calibri" w:cstheme="minorHAnsi"/>
        </w:rPr>
        <w:t xml:space="preserve"> Then,</w:t>
      </w:r>
      <w:r w:rsidR="006B28FB">
        <w:rPr>
          <w:rFonts w:eastAsia="Calibri" w:cstheme="minorHAnsi"/>
        </w:rPr>
        <w:t xml:space="preserve"> your state can determine how </w:t>
      </w:r>
      <w:r w:rsidR="00F74554">
        <w:rPr>
          <w:rFonts w:eastAsia="Calibri" w:cstheme="minorHAnsi"/>
        </w:rPr>
        <w:t xml:space="preserve">to </w:t>
      </w:r>
      <w:r w:rsidR="006B28FB">
        <w:rPr>
          <w:rFonts w:eastAsia="Calibri" w:cstheme="minorHAnsi"/>
        </w:rPr>
        <w:t>allocate th</w:t>
      </w:r>
      <w:r w:rsidR="00F74554">
        <w:rPr>
          <w:rFonts w:eastAsia="Calibri" w:cstheme="minorHAnsi"/>
        </w:rPr>
        <w:t>ose</w:t>
      </w:r>
      <w:r w:rsidR="006B28FB">
        <w:rPr>
          <w:rFonts w:eastAsia="Calibri" w:cstheme="minorHAnsi"/>
        </w:rPr>
        <w:t xml:space="preserve"> fund</w:t>
      </w:r>
      <w:r w:rsidR="00F74554">
        <w:rPr>
          <w:rFonts w:eastAsia="Calibri" w:cstheme="minorHAnsi"/>
        </w:rPr>
        <w:t>s</w:t>
      </w:r>
      <w:r w:rsidR="006B28FB">
        <w:rPr>
          <w:rFonts w:eastAsia="Calibri" w:cstheme="minorHAnsi"/>
        </w:rPr>
        <w:t xml:space="preserve"> each year. </w:t>
      </w:r>
    </w:p>
    <w:p w14:paraId="5AEFF277" w14:textId="4235B5EB" w:rsidR="006B28FB" w:rsidRDefault="006B28FB" w:rsidP="00623B86">
      <w:pPr>
        <w:spacing w:after="0" w:line="240" w:lineRule="auto"/>
        <w:rPr>
          <w:rFonts w:eastAsia="Calibri" w:cstheme="minorHAnsi"/>
        </w:rPr>
      </w:pPr>
    </w:p>
    <w:p w14:paraId="2190C76C" w14:textId="2D2485DC" w:rsidR="006B28FB" w:rsidRDefault="00715B9C" w:rsidP="00623B86">
      <w:pPr>
        <w:spacing w:after="0" w:line="240" w:lineRule="auto"/>
        <w:rPr>
          <w:rFonts w:eastAsia="Calibri" w:cstheme="minorHAnsi"/>
        </w:rPr>
      </w:pPr>
      <w:r>
        <w:rPr>
          <w:rFonts w:eastAsia="Calibri" w:cstheme="minorHAnsi"/>
        </w:rPr>
        <w:t>During Perkins IV,</w:t>
      </w:r>
      <w:r w:rsidR="006B28FB">
        <w:rPr>
          <w:rFonts w:eastAsia="Calibri" w:cstheme="minorHAnsi"/>
        </w:rPr>
        <w:t xml:space="preserve"> 40 states </w:t>
      </w:r>
      <w:r>
        <w:rPr>
          <w:rFonts w:eastAsia="Calibri" w:cstheme="minorHAnsi"/>
        </w:rPr>
        <w:t>used</w:t>
      </w:r>
      <w:r w:rsidR="00F50CAC">
        <w:rPr>
          <w:rFonts w:eastAsia="Calibri" w:cstheme="minorHAnsi"/>
        </w:rPr>
        <w:t xml:space="preserve"> </w:t>
      </w:r>
      <w:r w:rsidR="006B28FB">
        <w:rPr>
          <w:rFonts w:eastAsia="Calibri" w:cstheme="minorHAnsi"/>
        </w:rPr>
        <w:t>the reserve fund in some way</w:t>
      </w:r>
      <w:r w:rsidR="00A70DA0">
        <w:rPr>
          <w:rFonts w:eastAsia="Calibri" w:cstheme="minorHAnsi"/>
        </w:rPr>
        <w:t xml:space="preserve">; </w:t>
      </w:r>
      <w:r>
        <w:rPr>
          <w:rFonts w:eastAsia="Calibri" w:cstheme="minorHAnsi"/>
        </w:rPr>
        <w:t xml:space="preserve">with </w:t>
      </w:r>
      <w:r w:rsidR="001C2B30">
        <w:rPr>
          <w:rFonts w:eastAsia="Calibri" w:cstheme="minorHAnsi"/>
        </w:rPr>
        <w:t>half of states using</w:t>
      </w:r>
      <w:r w:rsidR="00A70DA0">
        <w:rPr>
          <w:rFonts w:eastAsia="Calibri" w:cstheme="minorHAnsi"/>
        </w:rPr>
        <w:t xml:space="preserve"> the max</w:t>
      </w:r>
      <w:r>
        <w:rPr>
          <w:rFonts w:eastAsia="Calibri" w:cstheme="minorHAnsi"/>
        </w:rPr>
        <w:t>imum</w:t>
      </w:r>
      <w:r w:rsidR="00A70DA0">
        <w:rPr>
          <w:rFonts w:eastAsia="Calibri" w:cstheme="minorHAnsi"/>
        </w:rPr>
        <w:t xml:space="preserve"> reserve amount</w:t>
      </w:r>
      <w:r w:rsidR="006B28FB">
        <w:rPr>
          <w:rFonts w:eastAsia="Calibri" w:cstheme="minorHAnsi"/>
        </w:rPr>
        <w:t xml:space="preserve">. </w:t>
      </w:r>
      <w:r w:rsidR="001C2B30">
        <w:rPr>
          <w:rFonts w:eastAsia="Calibri" w:cstheme="minorHAnsi"/>
        </w:rPr>
        <w:t>Based on what we have learned from states, here are a few examples of how a state might use a</w:t>
      </w:r>
      <w:r w:rsidR="006B28FB">
        <w:rPr>
          <w:rFonts w:eastAsia="Calibri" w:cstheme="minorHAnsi"/>
        </w:rPr>
        <w:t xml:space="preserve"> reserve fund </w:t>
      </w:r>
      <w:r w:rsidR="001C2B30">
        <w:rPr>
          <w:rFonts w:eastAsia="Calibri" w:cstheme="minorHAnsi"/>
        </w:rPr>
        <w:t>to achieve the strategies in its Perkins V state plan</w:t>
      </w:r>
      <w:r w:rsidR="006B28FB">
        <w:rPr>
          <w:rFonts w:eastAsia="Calibri" w:cstheme="minorHAnsi"/>
        </w:rPr>
        <w:t xml:space="preserve">. </w:t>
      </w:r>
    </w:p>
    <w:p w14:paraId="4E137C4F" w14:textId="77777777" w:rsidR="006B28FB" w:rsidRDefault="006B28FB" w:rsidP="00623B86">
      <w:pPr>
        <w:spacing w:after="0" w:line="240" w:lineRule="auto"/>
        <w:rPr>
          <w:rFonts w:eastAsia="Calibri" w:cstheme="minorHAnsi"/>
        </w:rPr>
      </w:pPr>
    </w:p>
    <w:p w14:paraId="7D4F82A4" w14:textId="72205A59" w:rsidR="0088026C" w:rsidRDefault="0095735D" w:rsidP="00021685">
      <w:pPr>
        <w:rPr>
          <w:i/>
          <w:iCs/>
        </w:rPr>
      </w:pPr>
      <w:r>
        <w:rPr>
          <w:i/>
          <w:iCs/>
        </w:rPr>
        <w:t>You</w:t>
      </w:r>
      <w:r w:rsidR="006B28FB">
        <w:rPr>
          <w:i/>
          <w:iCs/>
        </w:rPr>
        <w:t xml:space="preserve"> </w:t>
      </w:r>
      <w:r w:rsidR="00F50CAC">
        <w:rPr>
          <w:i/>
          <w:iCs/>
        </w:rPr>
        <w:t>could</w:t>
      </w:r>
      <w:r w:rsidR="006B28FB">
        <w:rPr>
          <w:i/>
          <w:iCs/>
        </w:rPr>
        <w:t>:</w:t>
      </w:r>
    </w:p>
    <w:p w14:paraId="1E555710" w14:textId="27614E60" w:rsidR="0088026C" w:rsidRDefault="006B28FB" w:rsidP="0088026C">
      <w:pPr>
        <w:pStyle w:val="ListParagraph"/>
        <w:numPr>
          <w:ilvl w:val="0"/>
          <w:numId w:val="1"/>
        </w:numPr>
        <w:rPr>
          <w:i/>
          <w:iCs/>
        </w:rPr>
      </w:pPr>
      <w:r>
        <w:rPr>
          <w:i/>
          <w:iCs/>
        </w:rPr>
        <w:t xml:space="preserve">Run </w:t>
      </w:r>
      <w:r w:rsidR="0088026C">
        <w:rPr>
          <w:i/>
          <w:iCs/>
        </w:rPr>
        <w:t>Innovation competitions</w:t>
      </w:r>
      <w:r>
        <w:rPr>
          <w:i/>
          <w:iCs/>
        </w:rPr>
        <w:t xml:space="preserve"> as competitive grants for LEA’s</w:t>
      </w:r>
      <w:r w:rsidR="005353CF">
        <w:rPr>
          <w:i/>
          <w:iCs/>
        </w:rPr>
        <w:t xml:space="preserve"> – you could even make one of the eligibility criteria spending down all of the prior year local funds.</w:t>
      </w:r>
    </w:p>
    <w:p w14:paraId="239EBD32" w14:textId="719AE493" w:rsidR="0088026C" w:rsidRPr="0088026C" w:rsidRDefault="006B28FB" w:rsidP="0088026C">
      <w:pPr>
        <w:pStyle w:val="ListParagraph"/>
        <w:numPr>
          <w:ilvl w:val="0"/>
          <w:numId w:val="1"/>
        </w:numPr>
        <w:rPr>
          <w:i/>
          <w:iCs/>
        </w:rPr>
      </w:pPr>
      <w:r>
        <w:rPr>
          <w:i/>
          <w:iCs/>
        </w:rPr>
        <w:t>Complete a state-wide c</w:t>
      </w:r>
      <w:r w:rsidR="0088026C">
        <w:rPr>
          <w:i/>
          <w:iCs/>
        </w:rPr>
        <w:t xml:space="preserve">urriculum alignment project </w:t>
      </w:r>
      <w:r>
        <w:rPr>
          <w:i/>
          <w:iCs/>
        </w:rPr>
        <w:t>for CTE</w:t>
      </w:r>
    </w:p>
    <w:p w14:paraId="6225546E" w14:textId="5AADB331" w:rsidR="0088026C" w:rsidRDefault="0088026C" w:rsidP="0088026C">
      <w:pPr>
        <w:pStyle w:val="ListParagraph"/>
        <w:numPr>
          <w:ilvl w:val="0"/>
          <w:numId w:val="1"/>
        </w:numPr>
        <w:rPr>
          <w:i/>
          <w:iCs/>
        </w:rPr>
      </w:pPr>
      <w:r>
        <w:rPr>
          <w:i/>
          <w:iCs/>
        </w:rPr>
        <w:t xml:space="preserve">Align with </w:t>
      </w:r>
      <w:r w:rsidR="006B28FB">
        <w:rPr>
          <w:i/>
          <w:iCs/>
        </w:rPr>
        <w:t xml:space="preserve">your existing </w:t>
      </w:r>
      <w:r>
        <w:rPr>
          <w:i/>
          <w:iCs/>
        </w:rPr>
        <w:t xml:space="preserve">state </w:t>
      </w:r>
      <w:r w:rsidR="00F50CAC">
        <w:rPr>
          <w:i/>
          <w:iCs/>
        </w:rPr>
        <w:t>performance-based</w:t>
      </w:r>
      <w:r>
        <w:rPr>
          <w:i/>
          <w:iCs/>
        </w:rPr>
        <w:t xml:space="preserve"> funding model</w:t>
      </w:r>
    </w:p>
    <w:p w14:paraId="0B9975D9" w14:textId="54C04886" w:rsidR="0088026C" w:rsidRDefault="0088026C" w:rsidP="0088026C">
      <w:pPr>
        <w:pStyle w:val="ListParagraph"/>
        <w:numPr>
          <w:ilvl w:val="0"/>
          <w:numId w:val="1"/>
        </w:numPr>
        <w:rPr>
          <w:i/>
          <w:iCs/>
        </w:rPr>
      </w:pPr>
      <w:r>
        <w:rPr>
          <w:i/>
          <w:iCs/>
        </w:rPr>
        <w:t xml:space="preserve">Create new </w:t>
      </w:r>
      <w:r w:rsidR="00F50CAC">
        <w:rPr>
          <w:i/>
          <w:iCs/>
        </w:rPr>
        <w:t>performance-based</w:t>
      </w:r>
      <w:r>
        <w:rPr>
          <w:i/>
          <w:iCs/>
        </w:rPr>
        <w:t xml:space="preserve"> funding model for </w:t>
      </w:r>
      <w:r w:rsidR="006B28FB">
        <w:rPr>
          <w:i/>
          <w:iCs/>
        </w:rPr>
        <w:t xml:space="preserve">your program </w:t>
      </w:r>
      <w:r>
        <w:rPr>
          <w:i/>
          <w:iCs/>
        </w:rPr>
        <w:t>equity indicators</w:t>
      </w:r>
    </w:p>
    <w:p w14:paraId="5B5852E6" w14:textId="5B0D412C" w:rsidR="0088026C" w:rsidRDefault="0088026C" w:rsidP="0088026C">
      <w:pPr>
        <w:pStyle w:val="ListParagraph"/>
        <w:numPr>
          <w:ilvl w:val="0"/>
          <w:numId w:val="1"/>
        </w:numPr>
        <w:rPr>
          <w:i/>
          <w:iCs/>
        </w:rPr>
      </w:pPr>
      <w:r>
        <w:rPr>
          <w:i/>
          <w:iCs/>
        </w:rPr>
        <w:t>Reward programs that have incredible outcomes</w:t>
      </w:r>
    </w:p>
    <w:p w14:paraId="268A0F93" w14:textId="5B57BD80" w:rsidR="0088026C" w:rsidRDefault="0088026C" w:rsidP="0088026C">
      <w:pPr>
        <w:pStyle w:val="ListParagraph"/>
        <w:numPr>
          <w:ilvl w:val="0"/>
          <w:numId w:val="1"/>
        </w:numPr>
        <w:rPr>
          <w:i/>
          <w:iCs/>
        </w:rPr>
      </w:pPr>
      <w:r>
        <w:rPr>
          <w:i/>
          <w:iCs/>
        </w:rPr>
        <w:t>Provide extra funding to help struggling programs improve</w:t>
      </w:r>
    </w:p>
    <w:p w14:paraId="2C3ABC9A" w14:textId="6FAB21D5" w:rsidR="0088026C" w:rsidRPr="0088026C" w:rsidRDefault="0088026C" w:rsidP="0088026C">
      <w:pPr>
        <w:pStyle w:val="ListParagraph"/>
        <w:numPr>
          <w:ilvl w:val="0"/>
          <w:numId w:val="1"/>
        </w:numPr>
        <w:rPr>
          <w:i/>
          <w:iCs/>
        </w:rPr>
      </w:pPr>
      <w:r>
        <w:rPr>
          <w:i/>
          <w:iCs/>
        </w:rPr>
        <w:t xml:space="preserve">Align with the needs assessment and workforce investment board sectors strategies work and prioritized program areas or sectors in a particular year. For example, </w:t>
      </w:r>
      <w:r w:rsidR="00F50CAC">
        <w:rPr>
          <w:i/>
          <w:iCs/>
        </w:rPr>
        <w:t>one-year</w:t>
      </w:r>
      <w:r>
        <w:rPr>
          <w:i/>
          <w:iCs/>
        </w:rPr>
        <w:t xml:space="preserve"> NV used their </w:t>
      </w:r>
      <w:r w:rsidR="006B28FB">
        <w:rPr>
          <w:i/>
          <w:iCs/>
        </w:rPr>
        <w:t xml:space="preserve">entire </w:t>
      </w:r>
      <w:r>
        <w:rPr>
          <w:i/>
          <w:iCs/>
        </w:rPr>
        <w:t xml:space="preserve">reserve fund to support nursing programs at 4 community colleges. </w:t>
      </w:r>
    </w:p>
    <w:p w14:paraId="09D3CC71" w14:textId="020BD13A" w:rsidR="001C2B30" w:rsidRDefault="001C2B30" w:rsidP="003033AC">
      <w:pPr>
        <w:spacing w:after="0" w:line="240" w:lineRule="auto"/>
        <w:rPr>
          <w:rFonts w:eastAsia="Calibri" w:cstheme="minorHAnsi"/>
        </w:rPr>
      </w:pPr>
      <w:r>
        <w:rPr>
          <w:rFonts w:eastAsia="Calibri" w:cstheme="minorHAnsi"/>
        </w:rPr>
        <w:t>Reserve funds allow you to identify priorities and focus Perkins dollars on those areas. The focus can change area every year if you want. The flexibility allows you think broadly about the most important needs in your state and align the reserve fund with other federal, state and local resources like those of your workforce investment board to make a significant impact.</w:t>
      </w:r>
    </w:p>
    <w:p w14:paraId="2176AE22" w14:textId="77777777" w:rsidR="001C2B30" w:rsidRDefault="001C2B30" w:rsidP="003033AC">
      <w:pPr>
        <w:spacing w:after="0" w:line="240" w:lineRule="auto"/>
        <w:rPr>
          <w:rFonts w:eastAsia="Calibri" w:cstheme="minorHAnsi"/>
        </w:rPr>
      </w:pPr>
    </w:p>
    <w:p w14:paraId="7A777195" w14:textId="28E8C5C3" w:rsidR="00021685" w:rsidRDefault="00F50CAC" w:rsidP="003033AC">
      <w:pPr>
        <w:spacing w:after="0" w:line="240" w:lineRule="auto"/>
        <w:rPr>
          <w:rFonts w:eastAsia="Times New Roman" w:cstheme="minorHAnsi"/>
        </w:rPr>
      </w:pPr>
      <w:r>
        <w:rPr>
          <w:rFonts w:eastAsia="Times New Roman" w:cstheme="minorHAnsi"/>
        </w:rPr>
        <w:t>R</w:t>
      </w:r>
      <w:r w:rsidR="00E96086">
        <w:rPr>
          <w:rFonts w:eastAsia="Times New Roman" w:cstheme="minorHAnsi"/>
        </w:rPr>
        <w:t>eserve funds</w:t>
      </w:r>
      <w:r>
        <w:rPr>
          <w:rFonts w:eastAsia="Times New Roman" w:cstheme="minorHAnsi"/>
        </w:rPr>
        <w:t>, though,</w:t>
      </w:r>
      <w:r w:rsidR="001C2B30">
        <w:rPr>
          <w:rFonts w:eastAsia="Times New Roman" w:cstheme="minorHAnsi"/>
        </w:rPr>
        <w:t xml:space="preserve"> </w:t>
      </w:r>
      <w:r>
        <w:rPr>
          <w:rFonts w:eastAsia="Times New Roman" w:cstheme="minorHAnsi"/>
        </w:rPr>
        <w:t xml:space="preserve">need to focus on </w:t>
      </w:r>
      <w:r w:rsidR="00E96086">
        <w:rPr>
          <w:rFonts w:eastAsia="Times New Roman" w:cstheme="minorHAnsi"/>
        </w:rPr>
        <w:t xml:space="preserve">rural areas, </w:t>
      </w:r>
      <w:r w:rsidR="00BF666A">
        <w:rPr>
          <w:rFonts w:eastAsia="Times New Roman" w:cstheme="minorHAnsi"/>
        </w:rPr>
        <w:t>places where there are lots of CTE concentrators,</w:t>
      </w:r>
      <w:r>
        <w:rPr>
          <w:rFonts w:eastAsia="Times New Roman" w:cstheme="minorHAnsi"/>
        </w:rPr>
        <w:t xml:space="preserve"> and places</w:t>
      </w:r>
      <w:r w:rsidR="00BF666A">
        <w:rPr>
          <w:rFonts w:eastAsia="Times New Roman" w:cstheme="minorHAnsi"/>
        </w:rPr>
        <w:t xml:space="preserve"> where you see gaps in performance. </w:t>
      </w:r>
      <w:r>
        <w:rPr>
          <w:rFonts w:eastAsia="Calibri" w:cstheme="minorHAnsi"/>
        </w:rPr>
        <w:t xml:space="preserve">In a minute you are going to see some great examples from Arizona and Maryland as they tell you about how they have used the reserve fund.  </w:t>
      </w:r>
      <w:r w:rsidR="006B28FB">
        <w:rPr>
          <w:rFonts w:eastAsia="Times New Roman" w:cstheme="minorHAnsi"/>
        </w:rPr>
        <w:t xml:space="preserve">If you have a new idea about how your state wants to use the reserve </w:t>
      </w:r>
      <w:proofErr w:type="gramStart"/>
      <w:r w:rsidR="006B28FB">
        <w:rPr>
          <w:rFonts w:eastAsia="Times New Roman" w:cstheme="minorHAnsi"/>
        </w:rPr>
        <w:t>funds</w:t>
      </w:r>
      <w:proofErr w:type="gramEnd"/>
      <w:r w:rsidR="006B28FB">
        <w:rPr>
          <w:rFonts w:eastAsia="Times New Roman" w:cstheme="minorHAnsi"/>
        </w:rPr>
        <w:t xml:space="preserve"> please call us. Let’s brainstorm together to make it possible. </w:t>
      </w:r>
    </w:p>
    <w:p w14:paraId="04F79898" w14:textId="29A5AF06" w:rsidR="00496649" w:rsidRDefault="00496649" w:rsidP="003033AC">
      <w:pPr>
        <w:spacing w:after="0" w:line="240" w:lineRule="auto"/>
        <w:rPr>
          <w:rFonts w:eastAsia="Times New Roman" w:cstheme="minorHAnsi"/>
        </w:rPr>
      </w:pPr>
    </w:p>
    <w:p w14:paraId="0F2EFFFE" w14:textId="77777777" w:rsidR="00496649" w:rsidRDefault="00496649" w:rsidP="00496649">
      <w:r>
        <w:t>[Arizona]</w:t>
      </w:r>
    </w:p>
    <w:p w14:paraId="191F6F25" w14:textId="77777777" w:rsidR="00496649" w:rsidRDefault="00496649" w:rsidP="00496649">
      <w:r>
        <w:t xml:space="preserve">Hi! In Arizona, we use a portion of our innovative or reserved funds to support the Arizona curriculum consortium. This consortium collaborates with our internal CTE standards and assessment team to develop an instructional framework of CTE teachers. Our internal standards and assessment team collaborate with industry partners to develop the technical skills needed for each of our 56 programs. </w:t>
      </w:r>
      <w:r>
        <w:lastRenderedPageBreak/>
        <w:t xml:space="preserve">During this process, approved industry certifications are identified and, when possible, are aligned with our technical standards. Once the standards are approved the curriculum consortium brings together a team of program teachers to unpack the technical standards and measurement criteria. With this, they develop the scope </w:t>
      </w:r>
      <w:r w:rsidRPr="00FC3375">
        <w:t>and sequence for the coherent</w:t>
      </w:r>
      <w:r>
        <w:t xml:space="preserve"> sequence of the program. Professional skills and academic standards are embedded and identified within the scope of sequence. Lesson plans are then designed to address every measurement </w:t>
      </w:r>
      <w:proofErr w:type="gramStart"/>
      <w:r>
        <w:t>criteria</w:t>
      </w:r>
      <w:proofErr w:type="gramEnd"/>
      <w:r>
        <w:t xml:space="preserve">. Lessons are of high quality and consistent across all program areas. Teachers are encouraged to download the lessons, adjust and edit them to make them their own. All materials are in word and allows for editing and changing once the lessons have been downloaded. Lessons from programs are continually being evaluated and revised. And all completed lessons </w:t>
      </w:r>
      <w:proofErr w:type="gramStart"/>
      <w:r>
        <w:t>contain:</w:t>
      </w:r>
      <w:proofErr w:type="gramEnd"/>
      <w:r>
        <w:t xml:space="preserve"> active participations strategies, a strong introduction to each lesson, clear and appropriated objectives, a variety of ways to meet those objectives and closure. Lessons are added annually, and in most cases, lesson plans do not rely on a textbook. The blueprint and supplemental materials are then </w:t>
      </w:r>
      <w:proofErr w:type="gramStart"/>
      <w:r>
        <w:t>develop</w:t>
      </w:r>
      <w:proofErr w:type="gramEnd"/>
      <w:r>
        <w:t xml:space="preserve"> and are designed to guide both instruction and assessment. Materials are intended to show the relationship between the program standards</w:t>
      </w:r>
      <w:r w:rsidRPr="009A5516">
        <w:t>, instructional time, student access, success on Arizona’s Technical Skills Assessment and on industry certifications.</w:t>
      </w:r>
      <w:r>
        <w:t xml:space="preserve"> The content domain are bodies of knowledge, skills and abilities to be taught or assessed. The instructional framework lists content domain, technical standards and measurement criteria. This resource has proven to be invaluable to teachers coming from industry who do not have teaching pedagogy. The also helped as a recruiting tool for teachers from industry, as we assure them that they will be provided with all the instructional materials they will need to be successful in the classroom. Our internal standards and assessment team collaborate with the consortium to create short videos with instruction on how to use the blueprint in framework. Along with professional development and instruction best practices in classroom management, out new teachers can enter the classroom with confidence, and we are more likely to retain them. </w:t>
      </w:r>
    </w:p>
    <w:p w14:paraId="65F796EF" w14:textId="77777777" w:rsidR="00496649" w:rsidRDefault="00496649" w:rsidP="00496649">
      <w:r>
        <w:t>[Maryland]</w:t>
      </w:r>
    </w:p>
    <w:p w14:paraId="54384EAC" w14:textId="7DB3540E" w:rsidR="00496649" w:rsidRPr="00496649" w:rsidRDefault="00496649" w:rsidP="00496649">
      <w:r>
        <w:t xml:space="preserve">During the reauthorization of Perkins IV, Maryland was one of a handful of states to reserve a portion of our federal dollars to issue a competitive grant for local school systems and community colleges. Maryland is continuing </w:t>
      </w:r>
      <w:proofErr w:type="gramStart"/>
      <w:r>
        <w:t>this competitive grants</w:t>
      </w:r>
      <w:proofErr w:type="gramEnd"/>
      <w:r>
        <w:t xml:space="preserve"> process under Perkins V. Maryland reserve fund grant has four priorities. </w:t>
      </w:r>
      <w:proofErr w:type="gramStart"/>
      <w:r>
        <w:t>The first priority,</w:t>
      </w:r>
      <w:proofErr w:type="gramEnd"/>
      <w:r>
        <w:t xml:space="preserve"> is CTE program implementations and enchantment at the secondary level. This funding area incentivizes school systems to adopt and implement the state’s model CTE programs. Particularly those focused on STEM. The second priority is for post-secondary CTE program implementation or enhancement at Maryland’s Community Colleges. Reserve funds have been used to improve and expand allied health, culinary arts, information technology and criminal justice programs at Maryland’s community colleges. An additional goal in this area was to create more opportunity for secondary and post-secondary alignment. The third funding priority is focused on support for CTE programs and students at both the secondary and post-secondary levels. This includes: establishing or expanding technical assessment centers at high schools and community colleges so that students can take their certification and credentialing exams, providing career guidance and academic counseling services to high school or college students, providing interventions to improve CTE student’s performance on college entrance exams or industry credential exams, supporting third party </w:t>
      </w:r>
      <w:r>
        <w:lastRenderedPageBreak/>
        <w:t xml:space="preserve">accreditation certification of CTE programs (such as that required by the American Culinary Federation or the National Automotive Technicians Foundation), developing and implementing strategies to recruit and retain special populations into CTE programs, as well as CTE marketing campaigns. </w:t>
      </w:r>
      <w:proofErr w:type="gramStart"/>
      <w:r>
        <w:t>The last funding priority,</w:t>
      </w:r>
      <w:proofErr w:type="gramEnd"/>
      <w:r>
        <w:t xml:space="preserve"> is professional development for CTE educators, faculty and staff. When Maryland first began developing model programs we also began partnering with colleges and professional organizations, known as affiliates, to provide professional development. These funds are used to support PD that is led by are affiliate partners. The reserved fund has shaped, strengthen and supported Maryland system of CTE by taking state initiatives, like model CTE programs, and implementing them locally. It serves for a vehicle of changes and continuous improvement and provides funding to support innovative and dynamic programs. </w:t>
      </w:r>
    </w:p>
    <w:p w14:paraId="6C8BBD73" w14:textId="47EFC775" w:rsidR="00E45B66" w:rsidRDefault="00E45B66" w:rsidP="003033AC">
      <w:pPr>
        <w:spacing w:after="0" w:line="240" w:lineRule="auto"/>
        <w:rPr>
          <w:rFonts w:eastAsia="Times New Roman" w:cstheme="minorHAnsi"/>
        </w:rPr>
      </w:pPr>
    </w:p>
    <w:p w14:paraId="38BC189E" w14:textId="77777777" w:rsidR="00DC60DA" w:rsidRDefault="00DC60DA" w:rsidP="00DC60DA">
      <w:pPr>
        <w:rPr>
          <w:i/>
          <w:iCs/>
        </w:rPr>
      </w:pPr>
      <w:r w:rsidRPr="00021685">
        <w:rPr>
          <w:i/>
          <w:iCs/>
        </w:rPr>
        <w:t>Please reach out to the Office of Career, Technical, and Adult Education if you have any questions.</w:t>
      </w:r>
    </w:p>
    <w:p w14:paraId="74DB4954" w14:textId="06C93DF7" w:rsidR="00E45B66" w:rsidRPr="003033AC" w:rsidRDefault="00E45B66" w:rsidP="003033AC">
      <w:pPr>
        <w:spacing w:after="0" w:line="240" w:lineRule="auto"/>
        <w:rPr>
          <w:rFonts w:eastAsia="Times New Roman" w:cstheme="minorHAnsi"/>
        </w:rPr>
      </w:pPr>
    </w:p>
    <w:sectPr w:rsidR="00E45B66" w:rsidRPr="003033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350CD4"/>
    <w:multiLevelType w:val="hybridMultilevel"/>
    <w:tmpl w:val="A94A2712"/>
    <w:lvl w:ilvl="0" w:tplc="48B81C72">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284"/>
    <w:rsid w:val="00021685"/>
    <w:rsid w:val="00095F8C"/>
    <w:rsid w:val="001C2B30"/>
    <w:rsid w:val="002E5651"/>
    <w:rsid w:val="003033AC"/>
    <w:rsid w:val="0032650B"/>
    <w:rsid w:val="003A7A54"/>
    <w:rsid w:val="004007ED"/>
    <w:rsid w:val="00496649"/>
    <w:rsid w:val="004C2EED"/>
    <w:rsid w:val="00527607"/>
    <w:rsid w:val="00531871"/>
    <w:rsid w:val="005353CF"/>
    <w:rsid w:val="005406A3"/>
    <w:rsid w:val="005E13FA"/>
    <w:rsid w:val="0060250A"/>
    <w:rsid w:val="00623B86"/>
    <w:rsid w:val="00654B0D"/>
    <w:rsid w:val="006B28FB"/>
    <w:rsid w:val="00715B9C"/>
    <w:rsid w:val="007E43AB"/>
    <w:rsid w:val="00854978"/>
    <w:rsid w:val="008745A5"/>
    <w:rsid w:val="0088026C"/>
    <w:rsid w:val="008C1093"/>
    <w:rsid w:val="00922457"/>
    <w:rsid w:val="009407E0"/>
    <w:rsid w:val="0095735D"/>
    <w:rsid w:val="00964D32"/>
    <w:rsid w:val="009A1503"/>
    <w:rsid w:val="00A70DA0"/>
    <w:rsid w:val="00A84ADD"/>
    <w:rsid w:val="00B00A9F"/>
    <w:rsid w:val="00B00DCC"/>
    <w:rsid w:val="00B03D3B"/>
    <w:rsid w:val="00BF666A"/>
    <w:rsid w:val="00C05284"/>
    <w:rsid w:val="00C1046C"/>
    <w:rsid w:val="00C246B6"/>
    <w:rsid w:val="00CA7C4C"/>
    <w:rsid w:val="00D35C1E"/>
    <w:rsid w:val="00D75120"/>
    <w:rsid w:val="00DC60DA"/>
    <w:rsid w:val="00DC64D1"/>
    <w:rsid w:val="00DF6F27"/>
    <w:rsid w:val="00DF6FBC"/>
    <w:rsid w:val="00E45B66"/>
    <w:rsid w:val="00E9298C"/>
    <w:rsid w:val="00E96086"/>
    <w:rsid w:val="00EB6A34"/>
    <w:rsid w:val="00EE0D5A"/>
    <w:rsid w:val="00F50CAC"/>
    <w:rsid w:val="00F74554"/>
    <w:rsid w:val="00F900AE"/>
    <w:rsid w:val="00FA3312"/>
    <w:rsid w:val="00FF3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AB9DE"/>
  <w15:docId w15:val="{A374CE37-7BBB-400E-AF53-5316F68F9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28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05284"/>
    <w:rPr>
      <w:color w:val="0563C1" w:themeColor="hyperlink"/>
      <w:u w:val="single"/>
    </w:rPr>
  </w:style>
  <w:style w:type="paragraph" w:styleId="BalloonText">
    <w:name w:val="Balloon Text"/>
    <w:basedOn w:val="Normal"/>
    <w:link w:val="BalloonTextChar"/>
    <w:uiPriority w:val="99"/>
    <w:semiHidden/>
    <w:unhideWhenUsed/>
    <w:rsid w:val="00095F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5F8C"/>
    <w:rPr>
      <w:rFonts w:ascii="Segoe UI" w:hAnsi="Segoe UI" w:cs="Segoe UI"/>
      <w:sz w:val="18"/>
      <w:szCs w:val="18"/>
    </w:rPr>
  </w:style>
  <w:style w:type="character" w:styleId="CommentReference">
    <w:name w:val="annotation reference"/>
    <w:basedOn w:val="DefaultParagraphFont"/>
    <w:uiPriority w:val="99"/>
    <w:semiHidden/>
    <w:unhideWhenUsed/>
    <w:rsid w:val="00922457"/>
    <w:rPr>
      <w:sz w:val="16"/>
      <w:szCs w:val="16"/>
    </w:rPr>
  </w:style>
  <w:style w:type="paragraph" w:styleId="CommentText">
    <w:name w:val="annotation text"/>
    <w:basedOn w:val="Normal"/>
    <w:link w:val="CommentTextChar"/>
    <w:uiPriority w:val="99"/>
    <w:semiHidden/>
    <w:unhideWhenUsed/>
    <w:rsid w:val="00922457"/>
    <w:pPr>
      <w:spacing w:line="240" w:lineRule="auto"/>
    </w:pPr>
    <w:rPr>
      <w:sz w:val="20"/>
      <w:szCs w:val="20"/>
    </w:rPr>
  </w:style>
  <w:style w:type="character" w:customStyle="1" w:styleId="CommentTextChar">
    <w:name w:val="Comment Text Char"/>
    <w:basedOn w:val="DefaultParagraphFont"/>
    <w:link w:val="CommentText"/>
    <w:uiPriority w:val="99"/>
    <w:semiHidden/>
    <w:rsid w:val="00922457"/>
    <w:rPr>
      <w:sz w:val="20"/>
      <w:szCs w:val="20"/>
    </w:rPr>
  </w:style>
  <w:style w:type="paragraph" w:styleId="CommentSubject">
    <w:name w:val="annotation subject"/>
    <w:basedOn w:val="CommentText"/>
    <w:next w:val="CommentText"/>
    <w:link w:val="CommentSubjectChar"/>
    <w:uiPriority w:val="99"/>
    <w:semiHidden/>
    <w:unhideWhenUsed/>
    <w:rsid w:val="00922457"/>
    <w:rPr>
      <w:b/>
      <w:bCs/>
    </w:rPr>
  </w:style>
  <w:style w:type="character" w:customStyle="1" w:styleId="CommentSubjectChar">
    <w:name w:val="Comment Subject Char"/>
    <w:basedOn w:val="CommentTextChar"/>
    <w:link w:val="CommentSubject"/>
    <w:uiPriority w:val="99"/>
    <w:semiHidden/>
    <w:rsid w:val="00922457"/>
    <w:rPr>
      <w:b/>
      <w:bCs/>
      <w:sz w:val="20"/>
      <w:szCs w:val="20"/>
    </w:rPr>
  </w:style>
  <w:style w:type="paragraph" w:styleId="ListParagraph">
    <w:name w:val="List Paragraph"/>
    <w:basedOn w:val="Normal"/>
    <w:uiPriority w:val="34"/>
    <w:qFormat/>
    <w:rsid w:val="008802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5454938">
      <w:bodyDiv w:val="1"/>
      <w:marLeft w:val="0"/>
      <w:marRight w:val="0"/>
      <w:marTop w:val="0"/>
      <w:marBottom w:val="0"/>
      <w:divBdr>
        <w:top w:val="none" w:sz="0" w:space="0" w:color="auto"/>
        <w:left w:val="none" w:sz="0" w:space="0" w:color="auto"/>
        <w:bottom w:val="none" w:sz="0" w:space="0" w:color="auto"/>
        <w:right w:val="none" w:sz="0" w:space="0" w:color="auto"/>
      </w:divBdr>
    </w:div>
    <w:div w:id="205226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1175</Words>
  <Characters>6699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Pettey, Richard</dc:creator>
  <cp:lastModifiedBy>Kochevar, Janell</cp:lastModifiedBy>
  <cp:revision>4</cp:revision>
  <dcterms:created xsi:type="dcterms:W3CDTF">2019-05-30T04:30:00Z</dcterms:created>
  <dcterms:modified xsi:type="dcterms:W3CDTF">2019-05-30T05:40:00Z</dcterms:modified>
</cp:coreProperties>
</file>