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942B4" w14:textId="2F59963A" w:rsidR="002A71F4" w:rsidRDefault="002A71F4" w:rsidP="002A71F4">
      <w:pPr>
        <w:pBdr>
          <w:bottom w:val="single" w:sz="4" w:space="1" w:color="auto"/>
        </w:pBdr>
        <w:spacing w:after="0" w:line="240" w:lineRule="auto"/>
        <w:rPr>
          <w:rFonts w:eastAsia="Calibri" w:cstheme="minorHAnsi"/>
        </w:rPr>
      </w:pPr>
      <w:r>
        <w:rPr>
          <w:rFonts w:eastAsia="Calibri" w:cstheme="minorHAnsi"/>
        </w:rPr>
        <w:t xml:space="preserve">Transcript – Perkins: </w:t>
      </w:r>
      <w:r>
        <w:rPr>
          <w:rFonts w:eastAsia="Calibri" w:cstheme="minorHAnsi"/>
        </w:rPr>
        <w:t>Teacher Recruitment and Retention (July 19, 2019)</w:t>
      </w:r>
    </w:p>
    <w:p w14:paraId="0BF0750C" w14:textId="77777777" w:rsidR="002A71F4" w:rsidRDefault="002A71F4" w:rsidP="00623B86">
      <w:pPr>
        <w:spacing w:after="0" w:line="240" w:lineRule="auto"/>
        <w:rPr>
          <w:rFonts w:ascii="Calibri" w:eastAsia="Calibri" w:hAnsi="Calibri" w:cs="Calibri"/>
          <w:bCs/>
        </w:rPr>
      </w:pPr>
    </w:p>
    <w:p w14:paraId="73400767" w14:textId="0500D4CD" w:rsidR="00260E01" w:rsidRPr="002A71F4" w:rsidRDefault="00260E01" w:rsidP="00623B86">
      <w:pPr>
        <w:spacing w:after="0" w:line="240" w:lineRule="auto"/>
        <w:rPr>
          <w:rFonts w:ascii="Calibri" w:eastAsia="Calibri" w:hAnsi="Calibri" w:cs="Calibri"/>
          <w:bCs/>
        </w:rPr>
      </w:pPr>
      <w:r w:rsidRPr="002A71F4">
        <w:rPr>
          <w:rFonts w:ascii="Calibri" w:eastAsia="Calibri" w:hAnsi="Calibri" w:cs="Calibri"/>
          <w:bCs/>
        </w:rPr>
        <w:t xml:space="preserve">We can all agree that the CTE teacher shortage is real. </w:t>
      </w:r>
      <w:r w:rsidR="000F7E19" w:rsidRPr="002A71F4">
        <w:rPr>
          <w:rFonts w:ascii="Calibri" w:hAnsi="Calibri" w:cs="Calibri"/>
        </w:rPr>
        <w:t xml:space="preserve">The </w:t>
      </w:r>
      <w:r w:rsidR="00130D56" w:rsidRPr="002A71F4">
        <w:rPr>
          <w:rFonts w:ascii="Calibri" w:hAnsi="Calibri" w:cs="Calibri"/>
        </w:rPr>
        <w:t>Department’s Teacher Shortage survey data tool</w:t>
      </w:r>
      <w:r w:rsidR="000F7E19" w:rsidRPr="002A71F4">
        <w:rPr>
          <w:rFonts w:ascii="Calibri" w:hAnsi="Calibri" w:cs="Calibri"/>
        </w:rPr>
        <w:t xml:space="preserve"> </w:t>
      </w:r>
      <w:r w:rsidR="00F70872" w:rsidRPr="002A71F4">
        <w:rPr>
          <w:rFonts w:ascii="Calibri" w:hAnsi="Calibri" w:cs="Calibri"/>
        </w:rPr>
        <w:t xml:space="preserve">reveals that </w:t>
      </w:r>
      <w:r w:rsidR="00130D56" w:rsidRPr="002A71F4">
        <w:rPr>
          <w:rFonts w:ascii="Calibri" w:hAnsi="Calibri" w:cs="Calibri"/>
        </w:rPr>
        <w:t xml:space="preserve">31 states </w:t>
      </w:r>
      <w:r w:rsidR="00F70872" w:rsidRPr="002A71F4">
        <w:rPr>
          <w:rFonts w:ascii="Calibri" w:hAnsi="Calibri" w:cs="Calibri"/>
        </w:rPr>
        <w:t xml:space="preserve">are currently identifying </w:t>
      </w:r>
      <w:r w:rsidR="00130D56" w:rsidRPr="002A71F4">
        <w:rPr>
          <w:rFonts w:ascii="Calibri" w:hAnsi="Calibri" w:cs="Calibri"/>
        </w:rPr>
        <w:t xml:space="preserve">a critical shortage of CTE educators. </w:t>
      </w:r>
      <w:r w:rsidR="006F3F30" w:rsidRPr="002A71F4">
        <w:rPr>
          <w:rFonts w:ascii="Calibri" w:eastAsia="Calibri" w:hAnsi="Calibri" w:cs="Calibri"/>
          <w:bCs/>
        </w:rPr>
        <w:t xml:space="preserve">It affects all of our CTE program areas and jeopardizes the access to high quality education for our youth and adults preparing for careers.  </w:t>
      </w:r>
    </w:p>
    <w:p w14:paraId="277D81DB" w14:textId="77777777" w:rsidR="00260E01" w:rsidRPr="002A71F4" w:rsidRDefault="00260E01" w:rsidP="00623B86">
      <w:pPr>
        <w:spacing w:after="0" w:line="240" w:lineRule="auto"/>
        <w:rPr>
          <w:rFonts w:ascii="Calibri" w:eastAsia="Calibri" w:hAnsi="Calibri" w:cs="Calibri"/>
          <w:bCs/>
        </w:rPr>
      </w:pPr>
    </w:p>
    <w:p w14:paraId="781B61EB" w14:textId="0FE0A036" w:rsidR="006A13FD" w:rsidRPr="002A71F4" w:rsidRDefault="006F3F30" w:rsidP="00623B86">
      <w:pPr>
        <w:spacing w:after="0" w:line="240" w:lineRule="auto"/>
        <w:rPr>
          <w:rFonts w:ascii="Calibri" w:eastAsia="Calibri" w:hAnsi="Calibri" w:cs="Calibri"/>
          <w:bCs/>
        </w:rPr>
      </w:pPr>
      <w:r w:rsidRPr="002A71F4">
        <w:rPr>
          <w:rFonts w:ascii="Calibri" w:eastAsia="Calibri" w:hAnsi="Calibri" w:cs="Calibri"/>
          <w:bCs/>
        </w:rPr>
        <w:t>Fortunately,</w:t>
      </w:r>
      <w:r w:rsidR="006A13FD" w:rsidRPr="002A71F4">
        <w:rPr>
          <w:rFonts w:ascii="Calibri" w:eastAsia="Calibri" w:hAnsi="Calibri" w:cs="Calibri"/>
          <w:bCs/>
        </w:rPr>
        <w:t xml:space="preserve"> Congress</w:t>
      </w:r>
      <w:r w:rsidR="00A81644" w:rsidRPr="002A71F4">
        <w:rPr>
          <w:rFonts w:ascii="Calibri" w:eastAsia="Calibri" w:hAnsi="Calibri" w:cs="Calibri"/>
          <w:bCs/>
        </w:rPr>
        <w:t xml:space="preserve"> responded to</w:t>
      </w:r>
      <w:r w:rsidR="006A13FD" w:rsidRPr="002A71F4">
        <w:rPr>
          <w:rFonts w:ascii="Calibri" w:eastAsia="Calibri" w:hAnsi="Calibri" w:cs="Calibri"/>
          <w:bCs/>
        </w:rPr>
        <w:t xml:space="preserve"> </w:t>
      </w:r>
      <w:r w:rsidR="00FC305A" w:rsidRPr="002A71F4">
        <w:rPr>
          <w:rFonts w:ascii="Calibri" w:eastAsia="Calibri" w:hAnsi="Calibri" w:cs="Calibri"/>
          <w:bCs/>
        </w:rPr>
        <w:t>th</w:t>
      </w:r>
      <w:r w:rsidR="00260E01" w:rsidRPr="002A71F4">
        <w:rPr>
          <w:rFonts w:ascii="Calibri" w:eastAsia="Calibri" w:hAnsi="Calibri" w:cs="Calibri"/>
          <w:bCs/>
        </w:rPr>
        <w:t>is</w:t>
      </w:r>
      <w:r w:rsidR="00FC305A" w:rsidRPr="002A71F4">
        <w:rPr>
          <w:rFonts w:ascii="Calibri" w:eastAsia="Calibri" w:hAnsi="Calibri" w:cs="Calibri"/>
          <w:bCs/>
        </w:rPr>
        <w:t xml:space="preserve"> </w:t>
      </w:r>
      <w:r w:rsidR="00260E01" w:rsidRPr="002A71F4">
        <w:rPr>
          <w:rFonts w:ascii="Calibri" w:eastAsia="Calibri" w:hAnsi="Calibri" w:cs="Calibri"/>
          <w:bCs/>
        </w:rPr>
        <w:t xml:space="preserve">crisis </w:t>
      </w:r>
      <w:r w:rsidR="00A014C5" w:rsidRPr="002A71F4">
        <w:rPr>
          <w:rFonts w:ascii="Calibri" w:eastAsia="Calibri" w:hAnsi="Calibri" w:cs="Calibri"/>
          <w:bCs/>
        </w:rPr>
        <w:t xml:space="preserve">when they reauthorized the Carl D. Perkins </w:t>
      </w:r>
      <w:r w:rsidR="00FA0EF5" w:rsidRPr="002A71F4">
        <w:rPr>
          <w:rFonts w:ascii="Calibri" w:eastAsia="Calibri" w:hAnsi="Calibri" w:cs="Calibri"/>
          <w:bCs/>
        </w:rPr>
        <w:t xml:space="preserve">Act </w:t>
      </w:r>
      <w:r w:rsidR="00A014C5" w:rsidRPr="002A71F4">
        <w:rPr>
          <w:rFonts w:ascii="Calibri" w:eastAsia="Calibri" w:hAnsi="Calibri" w:cs="Calibri"/>
          <w:bCs/>
        </w:rPr>
        <w:t>in 2018.</w:t>
      </w:r>
      <w:r w:rsidR="00262A60" w:rsidRPr="002A71F4">
        <w:rPr>
          <w:rFonts w:ascii="Calibri" w:eastAsia="Calibri" w:hAnsi="Calibri" w:cs="Calibri"/>
          <w:bCs/>
        </w:rPr>
        <w:t xml:space="preserve">  With a </w:t>
      </w:r>
      <w:r w:rsidRPr="002A71F4">
        <w:rPr>
          <w:rFonts w:ascii="Calibri" w:eastAsia="Calibri" w:hAnsi="Calibri" w:cs="Calibri"/>
          <w:bCs/>
        </w:rPr>
        <w:t>re</w:t>
      </w:r>
      <w:r w:rsidR="00262A60" w:rsidRPr="002A71F4">
        <w:rPr>
          <w:rFonts w:ascii="Calibri" w:eastAsia="Calibri" w:hAnsi="Calibri" w:cs="Calibri"/>
          <w:bCs/>
        </w:rPr>
        <w:t>new</w:t>
      </w:r>
      <w:r w:rsidRPr="002A71F4">
        <w:rPr>
          <w:rFonts w:ascii="Calibri" w:eastAsia="Calibri" w:hAnsi="Calibri" w:cs="Calibri"/>
          <w:bCs/>
        </w:rPr>
        <w:t>ed</w:t>
      </w:r>
      <w:r w:rsidR="00262A60" w:rsidRPr="002A71F4">
        <w:rPr>
          <w:rFonts w:ascii="Calibri" w:eastAsia="Calibri" w:hAnsi="Calibri" w:cs="Calibri"/>
          <w:bCs/>
        </w:rPr>
        <w:t xml:space="preserve"> focus on teacher recruitment, retention, and professional development, Perkins V </w:t>
      </w:r>
      <w:r w:rsidR="00D649BB" w:rsidRPr="002A71F4">
        <w:rPr>
          <w:rFonts w:ascii="Calibri" w:eastAsia="Calibri" w:hAnsi="Calibri" w:cs="Calibri"/>
          <w:bCs/>
        </w:rPr>
        <w:t xml:space="preserve">prioritizes filling the CTE teacher </w:t>
      </w:r>
      <w:r w:rsidRPr="002A71F4">
        <w:rPr>
          <w:rFonts w:ascii="Calibri" w:eastAsia="Calibri" w:hAnsi="Calibri" w:cs="Calibri"/>
          <w:bCs/>
        </w:rPr>
        <w:t xml:space="preserve">talent </w:t>
      </w:r>
      <w:r w:rsidR="00D649BB" w:rsidRPr="002A71F4">
        <w:rPr>
          <w:rFonts w:ascii="Calibri" w:eastAsia="Calibri" w:hAnsi="Calibri" w:cs="Calibri"/>
          <w:bCs/>
        </w:rPr>
        <w:t xml:space="preserve">pipeline </w:t>
      </w:r>
      <w:r w:rsidRPr="002A71F4">
        <w:rPr>
          <w:rFonts w:ascii="Calibri" w:eastAsia="Calibri" w:hAnsi="Calibri" w:cs="Calibri"/>
          <w:bCs/>
        </w:rPr>
        <w:t>while</w:t>
      </w:r>
      <w:r w:rsidR="00D649BB" w:rsidRPr="002A71F4">
        <w:rPr>
          <w:rFonts w:ascii="Calibri" w:eastAsia="Calibri" w:hAnsi="Calibri" w:cs="Calibri"/>
          <w:bCs/>
        </w:rPr>
        <w:t xml:space="preserve"> ensuring </w:t>
      </w:r>
      <w:r w:rsidRPr="002A71F4">
        <w:rPr>
          <w:rFonts w:ascii="Calibri" w:eastAsia="Calibri" w:hAnsi="Calibri" w:cs="Calibri"/>
          <w:bCs/>
        </w:rPr>
        <w:t>retention by</w:t>
      </w:r>
      <w:r w:rsidR="00700899">
        <w:rPr>
          <w:rFonts w:ascii="Calibri" w:eastAsia="Calibri" w:hAnsi="Calibri" w:cs="Calibri"/>
          <w:bCs/>
        </w:rPr>
        <w:t>-</w:t>
      </w:r>
      <w:bookmarkStart w:id="0" w:name="_GoBack"/>
      <w:bookmarkEnd w:id="0"/>
      <w:r w:rsidRPr="002A71F4">
        <w:rPr>
          <w:rFonts w:ascii="Calibri" w:eastAsia="Calibri" w:hAnsi="Calibri" w:cs="Calibri"/>
          <w:bCs/>
        </w:rPr>
        <w:t xml:space="preserve"> promoting professional development for teachers to remain successful.  </w:t>
      </w:r>
    </w:p>
    <w:p w14:paraId="382EEA03" w14:textId="4ACFB0AD" w:rsidR="00056887" w:rsidRPr="002A71F4" w:rsidRDefault="00056887" w:rsidP="00623B86">
      <w:pPr>
        <w:spacing w:after="0" w:line="240" w:lineRule="auto"/>
        <w:rPr>
          <w:rFonts w:ascii="Calibri" w:eastAsia="Calibri" w:hAnsi="Calibri" w:cs="Calibri"/>
          <w:bCs/>
        </w:rPr>
      </w:pPr>
    </w:p>
    <w:p w14:paraId="1C8CAA26" w14:textId="4E2A4466" w:rsidR="00262A60" w:rsidRPr="002A71F4" w:rsidRDefault="00D649BB" w:rsidP="00262A60">
      <w:pPr>
        <w:spacing w:after="0" w:line="240" w:lineRule="auto"/>
        <w:rPr>
          <w:rFonts w:ascii="Calibri" w:hAnsi="Calibri" w:cs="Calibri"/>
          <w:color w:val="000000"/>
        </w:rPr>
      </w:pPr>
      <w:r w:rsidRPr="002A71F4">
        <w:rPr>
          <w:rFonts w:ascii="Calibri" w:eastAsia="Calibri" w:hAnsi="Calibri" w:cs="Calibri"/>
          <w:bCs/>
        </w:rPr>
        <w:t xml:space="preserve">For example, </w:t>
      </w:r>
      <w:r w:rsidR="00FA0EF5" w:rsidRPr="002A71F4">
        <w:rPr>
          <w:rFonts w:ascii="Calibri" w:eastAsia="Calibri" w:hAnsi="Calibri" w:cs="Calibri"/>
          <w:bCs/>
        </w:rPr>
        <w:t>State plans</w:t>
      </w:r>
      <w:r w:rsidRPr="002A71F4">
        <w:rPr>
          <w:rFonts w:ascii="Calibri" w:eastAsia="Calibri" w:hAnsi="Calibri" w:cs="Calibri"/>
          <w:bCs/>
        </w:rPr>
        <w:t xml:space="preserve"> must include, “a </w:t>
      </w:r>
      <w:r w:rsidR="00262A60" w:rsidRPr="002A71F4">
        <w:rPr>
          <w:rFonts w:ascii="Calibri" w:hAnsi="Calibri" w:cs="Calibri"/>
          <w:color w:val="000000"/>
        </w:rPr>
        <w:t xml:space="preserve">description of how the eligible </w:t>
      </w:r>
      <w:r w:rsidR="00DC6C7A" w:rsidRPr="002A71F4">
        <w:rPr>
          <w:rFonts w:ascii="Calibri" w:hAnsi="Calibri" w:cs="Calibri"/>
          <w:color w:val="000000"/>
        </w:rPr>
        <w:t xml:space="preserve">state </w:t>
      </w:r>
      <w:r w:rsidR="00262A60" w:rsidRPr="002A71F4">
        <w:rPr>
          <w:rFonts w:ascii="Calibri" w:hAnsi="Calibri" w:cs="Calibri"/>
          <w:color w:val="000000"/>
        </w:rPr>
        <w:t>agency will 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professional development that provides the knowledge and skills needed to work with and improve instruction for special populations.</w:t>
      </w:r>
      <w:r w:rsidR="00954365" w:rsidRPr="002A71F4">
        <w:rPr>
          <w:rFonts w:ascii="Calibri" w:hAnsi="Calibri" w:cs="Calibri"/>
          <w:color w:val="000000"/>
        </w:rPr>
        <w:t>”</w:t>
      </w:r>
    </w:p>
    <w:p w14:paraId="796A3EA3" w14:textId="7BF1EFAB" w:rsidR="00954365" w:rsidRPr="002A71F4" w:rsidRDefault="00954365" w:rsidP="00262A60">
      <w:pPr>
        <w:spacing w:after="0" w:line="240" w:lineRule="auto"/>
        <w:rPr>
          <w:rFonts w:ascii="Calibri" w:hAnsi="Calibri" w:cs="Calibri"/>
          <w:color w:val="000000"/>
        </w:rPr>
      </w:pPr>
    </w:p>
    <w:p w14:paraId="65D41F0F" w14:textId="080AB3E5" w:rsidR="00056887" w:rsidRPr="002A71F4" w:rsidRDefault="00365301" w:rsidP="00623B86">
      <w:pPr>
        <w:spacing w:after="0" w:line="240" w:lineRule="auto"/>
        <w:rPr>
          <w:rFonts w:ascii="Calibri" w:eastAsia="Calibri" w:hAnsi="Calibri" w:cs="Calibri"/>
          <w:bCs/>
        </w:rPr>
      </w:pPr>
      <w:r w:rsidRPr="002A71F4">
        <w:rPr>
          <w:rFonts w:ascii="Calibri" w:hAnsi="Calibri" w:cs="Calibri"/>
          <w:color w:val="000000"/>
        </w:rPr>
        <w:t xml:space="preserve">A focus on </w:t>
      </w:r>
      <w:r w:rsidR="00A06F85" w:rsidRPr="002A71F4">
        <w:rPr>
          <w:rFonts w:ascii="Calibri" w:hAnsi="Calibri" w:cs="Calibri"/>
          <w:color w:val="000000"/>
        </w:rPr>
        <w:t>expanding instructional capacity</w:t>
      </w:r>
      <w:r w:rsidR="00954365" w:rsidRPr="002A71F4">
        <w:rPr>
          <w:rFonts w:ascii="Calibri" w:hAnsi="Calibri" w:cs="Calibri"/>
          <w:color w:val="000000"/>
        </w:rPr>
        <w:t xml:space="preserve"> </w:t>
      </w:r>
      <w:r w:rsidR="0056131D" w:rsidRPr="002A71F4">
        <w:rPr>
          <w:rFonts w:ascii="Calibri" w:hAnsi="Calibri" w:cs="Calibri"/>
          <w:color w:val="000000"/>
        </w:rPr>
        <w:t xml:space="preserve">is required at </w:t>
      </w:r>
      <w:r w:rsidR="00954365" w:rsidRPr="002A71F4">
        <w:rPr>
          <w:rFonts w:ascii="Calibri" w:hAnsi="Calibri" w:cs="Calibri"/>
          <w:color w:val="000000"/>
        </w:rPr>
        <w:t>the local level, where, in the Comprehensive Local Needs Assessments, local applications must address</w:t>
      </w:r>
      <w:r w:rsidR="001C055B" w:rsidRPr="002A71F4">
        <w:rPr>
          <w:rFonts w:ascii="Calibri" w:eastAsia="Calibri" w:hAnsi="Calibri" w:cs="Calibri"/>
          <w:bCs/>
        </w:rPr>
        <w:t xml:space="preserve"> a description of how they will improve recruitment, retention, and training of career and technical education teachers, faculty, specialized instructional support personnel, paraprofessionals, and career guidance and academic counselors, including individuals in groups underrepresented in </w:t>
      </w:r>
      <w:r w:rsidR="00130D56" w:rsidRPr="002A71F4">
        <w:rPr>
          <w:rFonts w:ascii="Calibri" w:eastAsia="Calibri" w:hAnsi="Calibri" w:cs="Calibri"/>
          <w:bCs/>
        </w:rPr>
        <w:t>th</w:t>
      </w:r>
      <w:r w:rsidR="00925116" w:rsidRPr="002A71F4">
        <w:rPr>
          <w:rFonts w:ascii="Calibri" w:eastAsia="Calibri" w:hAnsi="Calibri" w:cs="Calibri"/>
          <w:bCs/>
        </w:rPr>
        <w:t>ose</w:t>
      </w:r>
      <w:r w:rsidR="00130D56" w:rsidRPr="002A71F4">
        <w:rPr>
          <w:rFonts w:ascii="Calibri" w:eastAsia="Calibri" w:hAnsi="Calibri" w:cs="Calibri"/>
          <w:bCs/>
        </w:rPr>
        <w:t xml:space="preserve"> </w:t>
      </w:r>
      <w:r w:rsidR="001C055B" w:rsidRPr="002A71F4">
        <w:rPr>
          <w:rFonts w:ascii="Calibri" w:eastAsia="Calibri" w:hAnsi="Calibri" w:cs="Calibri"/>
          <w:bCs/>
        </w:rPr>
        <w:t>professions.</w:t>
      </w:r>
    </w:p>
    <w:p w14:paraId="6D7A926C" w14:textId="77777777" w:rsidR="00DD4804" w:rsidRPr="002A71F4" w:rsidRDefault="00DD4804" w:rsidP="00623B86">
      <w:pPr>
        <w:spacing w:after="0" w:line="240" w:lineRule="auto"/>
        <w:rPr>
          <w:rFonts w:ascii="Calibri" w:eastAsia="Calibri" w:hAnsi="Calibri" w:cs="Calibri"/>
        </w:rPr>
      </w:pPr>
    </w:p>
    <w:p w14:paraId="70FE3899" w14:textId="6C74C23C" w:rsidR="001C31A9" w:rsidRPr="002A71F4" w:rsidRDefault="0064741D" w:rsidP="00313517">
      <w:pPr>
        <w:spacing w:line="240" w:lineRule="auto"/>
        <w:rPr>
          <w:rFonts w:ascii="Calibri" w:eastAsia="Calibri" w:hAnsi="Calibri" w:cs="Calibri"/>
        </w:rPr>
      </w:pPr>
      <w:r w:rsidRPr="002A71F4">
        <w:rPr>
          <w:rFonts w:ascii="Calibri" w:eastAsia="Calibri" w:hAnsi="Calibri" w:cs="Calibri"/>
          <w:bCs/>
        </w:rPr>
        <w:t xml:space="preserve">As </w:t>
      </w:r>
      <w:r w:rsidR="00A06F85" w:rsidRPr="002A71F4">
        <w:rPr>
          <w:rFonts w:ascii="Calibri" w:eastAsia="Calibri" w:hAnsi="Calibri" w:cs="Calibri"/>
          <w:bCs/>
        </w:rPr>
        <w:t>States prepare</w:t>
      </w:r>
      <w:r w:rsidRPr="002A71F4">
        <w:rPr>
          <w:rFonts w:ascii="Calibri" w:eastAsia="Calibri" w:hAnsi="Calibri" w:cs="Calibri"/>
          <w:bCs/>
        </w:rPr>
        <w:t xml:space="preserve"> to implement Perkins V, remember that the new law </w:t>
      </w:r>
      <w:r w:rsidR="00F33524" w:rsidRPr="002A71F4">
        <w:rPr>
          <w:rFonts w:ascii="Calibri" w:eastAsia="Calibri" w:hAnsi="Calibri" w:cs="Calibri"/>
          <w:bCs/>
        </w:rPr>
        <w:t xml:space="preserve">requires </w:t>
      </w:r>
      <w:r w:rsidR="005F552F" w:rsidRPr="002A71F4">
        <w:rPr>
          <w:rFonts w:ascii="Calibri" w:eastAsia="Calibri" w:hAnsi="Calibri" w:cs="Calibri"/>
          <w:bCs/>
        </w:rPr>
        <w:t>an action plan for</w:t>
      </w:r>
      <w:r w:rsidR="00F33524" w:rsidRPr="002A71F4">
        <w:rPr>
          <w:rFonts w:ascii="Calibri" w:eastAsia="Calibri" w:hAnsi="Calibri" w:cs="Calibri"/>
          <w:bCs/>
        </w:rPr>
        <w:t xml:space="preserve"> </w:t>
      </w:r>
      <w:r w:rsidR="00167FBA" w:rsidRPr="002A71F4">
        <w:rPr>
          <w:rFonts w:ascii="Calibri" w:eastAsia="Calibri" w:hAnsi="Calibri" w:cs="Calibri"/>
          <w:bCs/>
        </w:rPr>
        <w:t xml:space="preserve">the recruitment, retention, and professional development of CTE educators.  </w:t>
      </w:r>
      <w:r w:rsidR="00DC6C7A" w:rsidRPr="002A71F4">
        <w:rPr>
          <w:rFonts w:ascii="Calibri" w:eastAsia="Calibri" w:hAnsi="Calibri" w:cs="Calibri"/>
          <w:bCs/>
        </w:rPr>
        <w:t xml:space="preserve">States are encouraged to rethink teacher licensure and certification policies – to think about how we recruit and retain the CTE teacher profession. </w:t>
      </w:r>
      <w:r w:rsidR="00421E76" w:rsidRPr="002A71F4">
        <w:rPr>
          <w:rFonts w:ascii="Calibri" w:eastAsia="Calibri" w:hAnsi="Calibri" w:cs="Calibri"/>
          <w:bCs/>
        </w:rPr>
        <w:t xml:space="preserve"> </w:t>
      </w:r>
      <w:r w:rsidR="00DC6C7A" w:rsidRPr="002A71F4">
        <w:rPr>
          <w:rFonts w:ascii="Calibri" w:eastAsia="Calibri" w:hAnsi="Calibri" w:cs="Calibri"/>
          <w:bCs/>
        </w:rPr>
        <w:t>T</w:t>
      </w:r>
      <w:r w:rsidRPr="002A71F4">
        <w:rPr>
          <w:rFonts w:ascii="Calibri" w:eastAsia="Calibri" w:hAnsi="Calibri" w:cs="Calibri"/>
          <w:bCs/>
        </w:rPr>
        <w:t>h</w:t>
      </w:r>
      <w:r w:rsidR="00421E76" w:rsidRPr="002A71F4">
        <w:rPr>
          <w:rFonts w:ascii="Calibri" w:eastAsia="Calibri" w:hAnsi="Calibri" w:cs="Calibri"/>
          <w:bCs/>
        </w:rPr>
        <w:t>e intentional focus in Perkins V empower</w:t>
      </w:r>
      <w:r w:rsidR="00DC6C7A" w:rsidRPr="002A71F4">
        <w:rPr>
          <w:rFonts w:ascii="Calibri" w:eastAsia="Calibri" w:hAnsi="Calibri" w:cs="Calibri"/>
          <w:bCs/>
        </w:rPr>
        <w:t>s</w:t>
      </w:r>
      <w:r w:rsidRPr="002A71F4">
        <w:rPr>
          <w:rFonts w:ascii="Calibri" w:eastAsia="Calibri" w:hAnsi="Calibri" w:cs="Calibri"/>
          <w:bCs/>
        </w:rPr>
        <w:t xml:space="preserve"> states and local partners to </w:t>
      </w:r>
      <w:r w:rsidR="00167FBA" w:rsidRPr="002A71F4">
        <w:rPr>
          <w:rFonts w:ascii="Calibri" w:eastAsia="Calibri" w:hAnsi="Calibri" w:cs="Calibri"/>
          <w:bCs/>
        </w:rPr>
        <w:t xml:space="preserve">better </w:t>
      </w:r>
      <w:r w:rsidR="004B20BF" w:rsidRPr="002A71F4">
        <w:rPr>
          <w:rFonts w:ascii="Calibri" w:eastAsia="Calibri" w:hAnsi="Calibri" w:cs="Calibri"/>
          <w:bCs/>
        </w:rPr>
        <w:t xml:space="preserve">meet the unique needs of learners, educators, and employers </w:t>
      </w:r>
      <w:r w:rsidR="000F7E19" w:rsidRPr="002A71F4">
        <w:rPr>
          <w:rFonts w:ascii="Calibri" w:eastAsia="Calibri" w:hAnsi="Calibri" w:cs="Calibri"/>
          <w:bCs/>
        </w:rPr>
        <w:t>b</w:t>
      </w:r>
      <w:r w:rsidR="004B20BF" w:rsidRPr="002A71F4">
        <w:rPr>
          <w:rFonts w:ascii="Calibri" w:eastAsia="Calibri" w:hAnsi="Calibri" w:cs="Calibri"/>
          <w:bCs/>
        </w:rPr>
        <w:t xml:space="preserve">y </w:t>
      </w:r>
      <w:r w:rsidRPr="002A71F4">
        <w:rPr>
          <w:rFonts w:ascii="Calibri" w:eastAsia="Calibri" w:hAnsi="Calibri" w:cs="Calibri"/>
          <w:bCs/>
        </w:rPr>
        <w:t>promot</w:t>
      </w:r>
      <w:r w:rsidR="004B20BF" w:rsidRPr="002A71F4">
        <w:rPr>
          <w:rFonts w:ascii="Calibri" w:eastAsia="Calibri" w:hAnsi="Calibri" w:cs="Calibri"/>
          <w:bCs/>
        </w:rPr>
        <w:t>ing</w:t>
      </w:r>
      <w:r w:rsidRPr="002A71F4">
        <w:rPr>
          <w:rFonts w:ascii="Calibri" w:eastAsia="Calibri" w:hAnsi="Calibri" w:cs="Calibri"/>
          <w:bCs/>
        </w:rPr>
        <w:t xml:space="preserve"> </w:t>
      </w:r>
      <w:r w:rsidR="004B20BF" w:rsidRPr="002A71F4">
        <w:rPr>
          <w:rFonts w:ascii="Calibri" w:eastAsia="Calibri" w:hAnsi="Calibri" w:cs="Calibri"/>
          <w:bCs/>
        </w:rPr>
        <w:t xml:space="preserve">stronger </w:t>
      </w:r>
      <w:r w:rsidRPr="002A71F4">
        <w:rPr>
          <w:rFonts w:ascii="Calibri" w:eastAsia="Calibri" w:hAnsi="Calibri" w:cs="Calibri"/>
          <w:bCs/>
        </w:rPr>
        <w:t xml:space="preserve">alignment of CTE programs with economic </w:t>
      </w:r>
      <w:r w:rsidR="004B20BF" w:rsidRPr="002A71F4">
        <w:rPr>
          <w:rFonts w:ascii="Calibri" w:eastAsia="Calibri" w:hAnsi="Calibri" w:cs="Calibri"/>
          <w:bCs/>
        </w:rPr>
        <w:t xml:space="preserve">and workforce </w:t>
      </w:r>
      <w:r w:rsidRPr="002A71F4">
        <w:rPr>
          <w:rFonts w:ascii="Calibri" w:eastAsia="Calibri" w:hAnsi="Calibri" w:cs="Calibri"/>
          <w:bCs/>
        </w:rPr>
        <w:t>needs.</w:t>
      </w:r>
      <w:r w:rsidR="00167FBA" w:rsidRPr="002A71F4">
        <w:rPr>
          <w:rFonts w:ascii="Calibri" w:eastAsia="Calibri" w:hAnsi="Calibri" w:cs="Calibri"/>
          <w:bCs/>
        </w:rPr>
        <w:t xml:space="preserve">  </w:t>
      </w:r>
    </w:p>
    <w:p w14:paraId="26DC1CB7" w14:textId="00D03A5D" w:rsidR="0064741D" w:rsidRPr="002A71F4" w:rsidRDefault="0064741D" w:rsidP="003033AC">
      <w:pPr>
        <w:spacing w:after="0" w:line="240" w:lineRule="auto"/>
        <w:rPr>
          <w:rFonts w:ascii="Calibri" w:eastAsia="Calibri" w:hAnsi="Calibri" w:cs="Calibri"/>
        </w:rPr>
      </w:pPr>
      <w:r w:rsidRPr="002A71F4">
        <w:rPr>
          <w:rFonts w:ascii="Calibri" w:eastAsia="Calibri" w:hAnsi="Calibri" w:cs="Calibri"/>
        </w:rPr>
        <w:t xml:space="preserve">Today you’ll hear from two </w:t>
      </w:r>
      <w:r w:rsidR="00101219" w:rsidRPr="002A71F4">
        <w:rPr>
          <w:rFonts w:ascii="Calibri" w:eastAsia="Calibri" w:hAnsi="Calibri" w:cs="Calibri"/>
        </w:rPr>
        <w:t xml:space="preserve">of the many </w:t>
      </w:r>
      <w:r w:rsidRPr="002A71F4">
        <w:rPr>
          <w:rFonts w:ascii="Calibri" w:eastAsia="Calibri" w:hAnsi="Calibri" w:cs="Calibri"/>
        </w:rPr>
        <w:t xml:space="preserve">organizations </w:t>
      </w:r>
      <w:r w:rsidR="00101219" w:rsidRPr="002A71F4">
        <w:rPr>
          <w:rFonts w:ascii="Calibri" w:eastAsia="Calibri" w:hAnsi="Calibri" w:cs="Calibri"/>
        </w:rPr>
        <w:t xml:space="preserve">who </w:t>
      </w:r>
      <w:r w:rsidRPr="002A71F4">
        <w:rPr>
          <w:rFonts w:ascii="Calibri" w:eastAsia="Calibri" w:hAnsi="Calibri" w:cs="Calibri"/>
        </w:rPr>
        <w:t xml:space="preserve">are </w:t>
      </w:r>
      <w:r w:rsidR="00101219" w:rsidRPr="002A71F4">
        <w:rPr>
          <w:rFonts w:ascii="Calibri" w:eastAsia="Calibri" w:hAnsi="Calibri" w:cs="Calibri"/>
        </w:rPr>
        <w:t xml:space="preserve">conducting </w:t>
      </w:r>
      <w:r w:rsidRPr="002A71F4">
        <w:rPr>
          <w:rFonts w:ascii="Calibri" w:eastAsia="Calibri" w:hAnsi="Calibri" w:cs="Calibri"/>
        </w:rPr>
        <w:t>groundbreaking work around teacher recruitment, retention, and professional development in career and technical education.</w:t>
      </w:r>
      <w:r w:rsidR="006D64FA" w:rsidRPr="002A71F4">
        <w:rPr>
          <w:rFonts w:ascii="Calibri" w:eastAsia="Calibri" w:hAnsi="Calibri" w:cs="Calibri"/>
        </w:rPr>
        <w:t xml:space="preserve">  </w:t>
      </w:r>
      <w:r w:rsidRPr="002A71F4">
        <w:rPr>
          <w:rFonts w:ascii="Calibri" w:eastAsia="Calibri" w:hAnsi="Calibri" w:cs="Calibri"/>
        </w:rPr>
        <w:t xml:space="preserve">As you listen, think about how </w:t>
      </w:r>
      <w:r w:rsidR="006D64FA" w:rsidRPr="002A71F4">
        <w:rPr>
          <w:rFonts w:ascii="Calibri" w:eastAsia="Calibri" w:hAnsi="Calibri" w:cs="Calibri"/>
        </w:rPr>
        <w:t xml:space="preserve">this </w:t>
      </w:r>
      <w:r w:rsidRPr="002A71F4">
        <w:rPr>
          <w:rFonts w:ascii="Calibri" w:eastAsia="Calibri" w:hAnsi="Calibri" w:cs="Calibri"/>
        </w:rPr>
        <w:t>work</w:t>
      </w:r>
      <w:r w:rsidR="006D64FA" w:rsidRPr="002A71F4">
        <w:rPr>
          <w:rFonts w:ascii="Calibri" w:eastAsia="Calibri" w:hAnsi="Calibri" w:cs="Calibri"/>
        </w:rPr>
        <w:t xml:space="preserve"> and the information they provide </w:t>
      </w:r>
      <w:r w:rsidRPr="002A71F4">
        <w:rPr>
          <w:rFonts w:ascii="Calibri" w:eastAsia="Calibri" w:hAnsi="Calibri" w:cs="Calibri"/>
        </w:rPr>
        <w:t>might look in the context of your Perkins V state plan.</w:t>
      </w:r>
    </w:p>
    <w:p w14:paraId="2FEE623A" w14:textId="44406D93" w:rsidR="008E1EDC" w:rsidRPr="002A71F4" w:rsidRDefault="008E1EDC" w:rsidP="008E1EDC">
      <w:pPr>
        <w:spacing w:before="100" w:beforeAutospacing="1"/>
        <w:rPr>
          <w:rFonts w:ascii="Calibri" w:eastAsia="Calibri" w:hAnsi="Calibri" w:cs="Calibri"/>
          <w:color w:val="000000"/>
        </w:rPr>
      </w:pPr>
      <w:r w:rsidRPr="002A71F4">
        <w:rPr>
          <w:rFonts w:ascii="Calibri" w:eastAsia="Calibri" w:hAnsi="Calibri" w:cs="Calibri"/>
          <w:color w:val="000000"/>
        </w:rPr>
        <w:t xml:space="preserve">Hello. My Name is Jessica </w:t>
      </w:r>
      <w:proofErr w:type="spellStart"/>
      <w:r w:rsidRPr="002A71F4">
        <w:rPr>
          <w:rFonts w:ascii="Calibri" w:eastAsia="Calibri" w:hAnsi="Calibri" w:cs="Calibri"/>
          <w:color w:val="000000"/>
        </w:rPr>
        <w:t>Cardichon</w:t>
      </w:r>
      <w:proofErr w:type="spellEnd"/>
      <w:r w:rsidRPr="002A71F4">
        <w:rPr>
          <w:rFonts w:ascii="Calibri" w:eastAsia="Calibri" w:hAnsi="Calibri" w:cs="Calibri"/>
          <w:color w:val="000000"/>
        </w:rPr>
        <w:t xml:space="preserve"> and I'm the director of the Washington, D.C. office in federal policy for the Learning Policy Institute. Working with policy makers, researchers, educators, community groups, and others, we seek to advance evidence-based policies that support empowering and equitable learning for each and every child. The new Perkins Career and Technical Education Act provides states and districts with a number of opportunities to support a well-prepared and effective CTE educator workforce. Providing students with access to high quality CTE courses requires a prepared and effective CTE educator workforce.</w:t>
      </w:r>
    </w:p>
    <w:p w14:paraId="673B1506" w14:textId="658F4469" w:rsidR="008E1EDC" w:rsidRPr="002A71F4" w:rsidRDefault="008E1EDC" w:rsidP="008E1EDC">
      <w:pPr>
        <w:spacing w:before="100" w:beforeAutospacing="1"/>
        <w:rPr>
          <w:rFonts w:ascii="Calibri" w:eastAsia="Calibri" w:hAnsi="Calibri" w:cs="Calibri"/>
          <w:color w:val="000000"/>
        </w:rPr>
      </w:pPr>
      <w:r w:rsidRPr="002A71F4">
        <w:rPr>
          <w:rFonts w:ascii="Calibri" w:eastAsia="Calibri" w:hAnsi="Calibri" w:cs="Calibri"/>
          <w:color w:val="000000"/>
        </w:rPr>
        <w:t xml:space="preserve">However, we know that most states are experiencing shortages of CTE teachers as well as STEM teachers. These shortages are also happening during a time when there is increased demand for CTE </w:t>
      </w:r>
      <w:r w:rsidRPr="002A71F4">
        <w:rPr>
          <w:rFonts w:ascii="Calibri" w:eastAsia="Calibri" w:hAnsi="Calibri" w:cs="Calibri"/>
          <w:color w:val="000000"/>
        </w:rPr>
        <w:lastRenderedPageBreak/>
        <w:t>educators. One of the reasons that states are experiencing a shortage of CTE teachers is due to a decline in the enrollment in teacher preparation programs. Teacher turnover also contributes to shortages. Reasons for teacher turnover look different across states, districts and subject areas and or function of the various policies and conditions at play. These shortages are most likely to impact historically underserved students and communities and among other consequences result in fewer CTE offerings.</w:t>
      </w:r>
    </w:p>
    <w:p w14:paraId="60A2773C" w14:textId="1CCFA8E6" w:rsidR="008E1EDC" w:rsidRPr="002A71F4" w:rsidRDefault="008E1EDC" w:rsidP="008E1EDC">
      <w:pPr>
        <w:spacing w:before="100" w:beforeAutospacing="1"/>
        <w:rPr>
          <w:rFonts w:ascii="Calibri" w:eastAsia="Calibri" w:hAnsi="Calibri" w:cs="Calibri"/>
          <w:color w:val="000000"/>
        </w:rPr>
      </w:pPr>
      <w:r w:rsidRPr="002A71F4">
        <w:rPr>
          <w:rFonts w:ascii="Calibri" w:eastAsia="Calibri" w:hAnsi="Calibri" w:cs="Calibri"/>
          <w:color w:val="000000"/>
        </w:rPr>
        <w:t xml:space="preserve">It is worth mentioning that under </w:t>
      </w:r>
      <w:proofErr w:type="gramStart"/>
      <w:r w:rsidRPr="002A71F4">
        <w:rPr>
          <w:rFonts w:ascii="Calibri" w:eastAsia="Calibri" w:hAnsi="Calibri" w:cs="Calibri"/>
          <w:color w:val="000000"/>
        </w:rPr>
        <w:t>the Every</w:t>
      </w:r>
      <w:proofErr w:type="gramEnd"/>
      <w:r w:rsidRPr="002A71F4">
        <w:rPr>
          <w:rFonts w:ascii="Calibri" w:eastAsia="Calibri" w:hAnsi="Calibri" w:cs="Calibri"/>
          <w:color w:val="000000"/>
        </w:rPr>
        <w:t xml:space="preserve"> Student Succeeds Act, 35 state plans include a career focused measure in their accountability and improvement system for high schools. High schools that don't have the teachers to provide CTE and other career focused courses or who don't have the skills to successfully teach them will be at a disadvantage. Research shows that state and local efforts around teacher compensation, preparation and mentoring, and teaching conditions can address CTE teacher shortages. Funding under CTE as well as ESSA can be used to support increased CTE teacher compensation, and making teaching not just a more attractive profession, but provide teachers with a livable wage. This can be particularly effective for CTE teachers who make more than 30% less than other college graduates.</w:t>
      </w:r>
    </w:p>
    <w:p w14:paraId="53C5181B" w14:textId="385B2CBA" w:rsidR="008E1EDC" w:rsidRPr="002A71F4" w:rsidRDefault="008E1EDC" w:rsidP="008E1EDC">
      <w:pPr>
        <w:spacing w:before="100" w:beforeAutospacing="1"/>
        <w:rPr>
          <w:rFonts w:ascii="Calibri" w:eastAsia="Calibri" w:hAnsi="Calibri" w:cs="Calibri"/>
          <w:color w:val="000000"/>
        </w:rPr>
      </w:pPr>
      <w:r w:rsidRPr="002A71F4">
        <w:rPr>
          <w:rFonts w:ascii="Calibri" w:eastAsia="Calibri" w:hAnsi="Calibri" w:cs="Calibri"/>
          <w:color w:val="000000"/>
        </w:rPr>
        <w:t>CTE funding can also be used to support high quality CTE teacher preparation. Under prepared teachers are two to three times more likely to leave the profession compared to fully prepared teachers contributing to shortages. CTE teacher residencies and loan forgiveness or service scholarship programs are effective strategies for ensuring CTE teachers are able to access high quality preparation. We also know that less supportive working conditions contribute to teacher turnover, so making sure CTE teachers have the resources and planning time and professional learning they need are important for adjusting teacher turnover.</w:t>
      </w:r>
    </w:p>
    <w:p w14:paraId="4B3A9F72" w14:textId="2485B41B" w:rsidR="008E1EDC" w:rsidRPr="002A71F4" w:rsidRDefault="008E1EDC" w:rsidP="008E1EDC">
      <w:pPr>
        <w:spacing w:before="100" w:beforeAutospacing="1"/>
        <w:rPr>
          <w:rFonts w:ascii="Calibri" w:eastAsia="Calibri" w:hAnsi="Calibri" w:cs="Calibri"/>
          <w:color w:val="000000"/>
        </w:rPr>
      </w:pPr>
      <w:r w:rsidRPr="002A71F4">
        <w:rPr>
          <w:rFonts w:ascii="Calibri" w:eastAsia="Calibri" w:hAnsi="Calibri" w:cs="Calibri"/>
          <w:color w:val="000000"/>
        </w:rPr>
        <w:t>The new CTE law includes an increased focus on addressing the issue of CTE teacher shortage in quality. These are the two key provisions within the new law. Funding under Perkins can be used to support time for collaboration and planning, including joint professional development between CTE and non-CTE teachers to improve program coordination and collaboration across subject. Funds can also be used for these types of activities including supporting teachers in earning certifications and credentials and mentoring and induction for early career CTE teachers. These strategies and activities are already underway in a number of states.</w:t>
      </w:r>
    </w:p>
    <w:p w14:paraId="2303B7E0" w14:textId="3A77E47F" w:rsidR="008E1EDC" w:rsidRPr="002A71F4" w:rsidRDefault="008E1EDC" w:rsidP="008E1EDC">
      <w:pPr>
        <w:spacing w:before="100" w:beforeAutospacing="1"/>
        <w:rPr>
          <w:rFonts w:ascii="Calibri" w:eastAsia="Calibri" w:hAnsi="Calibri" w:cs="Calibri"/>
          <w:color w:val="000000"/>
        </w:rPr>
      </w:pPr>
      <w:r w:rsidRPr="002A71F4">
        <w:rPr>
          <w:rFonts w:ascii="Calibri" w:eastAsia="Calibri" w:hAnsi="Calibri" w:cs="Calibri"/>
          <w:color w:val="000000"/>
        </w:rPr>
        <w:t>For example, Alabama and Tennessee's policies are in line with research showing teachers are more likely to stay at their school when their wages increase and are comparable with job opportunities in other industries in nearby school districts. New York provides a CTE teacher residency program, which research shows is particularly successful at recruiting and preparing teachers, especially teachers of color to high need districts and yield above average retention rates. Alaska partners with business and industry, institutions of higher education and across agencies to support the professional development, credentialing, and career advancement of CTE teachers. Ohio, Tennessee, and Virginia are investing in CTE teacher development and licensing. Other states can look to these states for ideas and can use CTE funding to support their efforts.</w:t>
      </w:r>
    </w:p>
    <w:p w14:paraId="60B1CF96" w14:textId="590F4932" w:rsidR="008E1EDC" w:rsidRPr="002A71F4" w:rsidRDefault="008E1EDC" w:rsidP="008E1EDC">
      <w:pPr>
        <w:spacing w:before="100" w:beforeAutospacing="1"/>
        <w:rPr>
          <w:rFonts w:ascii="Calibri" w:eastAsia="Calibri" w:hAnsi="Calibri" w:cs="Calibri"/>
          <w:color w:val="000000"/>
        </w:rPr>
      </w:pPr>
      <w:r w:rsidRPr="002A71F4">
        <w:rPr>
          <w:rFonts w:ascii="Calibri" w:eastAsia="Calibri" w:hAnsi="Calibri" w:cs="Calibri"/>
          <w:color w:val="000000"/>
        </w:rPr>
        <w:lastRenderedPageBreak/>
        <w:t xml:space="preserve">States and districts can also use funds to introduce high school students to the teaching profession during this key </w:t>
      </w:r>
      <w:proofErr w:type="gramStart"/>
      <w:r w:rsidRPr="002A71F4">
        <w:rPr>
          <w:rFonts w:ascii="Calibri" w:eastAsia="Calibri" w:hAnsi="Calibri" w:cs="Calibri"/>
          <w:color w:val="000000"/>
        </w:rPr>
        <w:t>decision making</w:t>
      </w:r>
      <w:proofErr w:type="gramEnd"/>
      <w:r w:rsidRPr="002A71F4">
        <w:rPr>
          <w:rFonts w:ascii="Calibri" w:eastAsia="Calibri" w:hAnsi="Calibri" w:cs="Calibri"/>
          <w:color w:val="000000"/>
        </w:rPr>
        <w:t xml:space="preserve"> period. For example, Arkansas has partnered with a nonprofit organization Educators Rising to increase the number of students pursuing education as a career by providing high school students with hands-on teaching experiences that include online resources, scholarship opportunities, specialized certifications and opportunities for students to connect with others on the path to entering the profession full time.</w:t>
      </w:r>
    </w:p>
    <w:p w14:paraId="207584B6" w14:textId="07AED432" w:rsidR="008E1EDC" w:rsidRPr="002A71F4" w:rsidRDefault="008E1EDC" w:rsidP="008E1EDC">
      <w:pPr>
        <w:spacing w:before="100" w:beforeAutospacing="1"/>
        <w:rPr>
          <w:rFonts w:ascii="Calibri" w:eastAsia="Calibri" w:hAnsi="Calibri" w:cs="Calibri"/>
          <w:color w:val="000000"/>
        </w:rPr>
      </w:pPr>
      <w:r w:rsidRPr="002A71F4">
        <w:rPr>
          <w:rFonts w:ascii="Calibri" w:eastAsia="Calibri" w:hAnsi="Calibri" w:cs="Calibri"/>
          <w:color w:val="000000"/>
        </w:rPr>
        <w:t xml:space="preserve">In addition, partnerships with the local institutions of higher education can provide students with opportunities to participate in dual enrollment or early college courses. These partnerships can help future </w:t>
      </w:r>
      <w:proofErr w:type="gramStart"/>
      <w:r w:rsidRPr="002A71F4">
        <w:rPr>
          <w:rFonts w:ascii="Calibri" w:eastAsia="Calibri" w:hAnsi="Calibri" w:cs="Calibri"/>
          <w:color w:val="000000"/>
        </w:rPr>
        <w:t>educators</w:t>
      </w:r>
      <w:proofErr w:type="gramEnd"/>
      <w:r w:rsidRPr="002A71F4">
        <w:rPr>
          <w:rFonts w:ascii="Calibri" w:eastAsia="Calibri" w:hAnsi="Calibri" w:cs="Calibri"/>
          <w:color w:val="000000"/>
        </w:rPr>
        <w:t xml:space="preserve"> transition to community colleges and universities by providing them with the credits that satisfy degree requirements for education majors, while making sure those credits are aligned with higher level educator preparation courses at the institution. For additional information on how states, districts and schools can support an effective CTE teacher workforce and increase student access to high quality CTE courses, please visit our website or email me at the following. Thank you.</w:t>
      </w:r>
    </w:p>
    <w:p w14:paraId="64071C2A" w14:textId="77777777" w:rsidR="002A71F4" w:rsidRPr="002A71F4" w:rsidRDefault="002A71F4" w:rsidP="002A71F4">
      <w:pPr>
        <w:spacing w:after="0"/>
        <w:ind w:left="720" w:hanging="360"/>
        <w:rPr>
          <w:rFonts w:ascii="Calibri" w:hAnsi="Calibri" w:cs="Calibri"/>
        </w:rPr>
      </w:pPr>
    </w:p>
    <w:p w14:paraId="7FD054C4" w14:textId="77777777" w:rsidR="002A71F4" w:rsidRPr="002A71F4" w:rsidRDefault="002A71F4" w:rsidP="002A71F4">
      <w:pPr>
        <w:spacing w:after="0" w:line="259" w:lineRule="auto"/>
        <w:rPr>
          <w:rFonts w:ascii="Calibri" w:hAnsi="Calibri" w:cs="Calibri"/>
        </w:rPr>
      </w:pPr>
      <w:r w:rsidRPr="002A71F4">
        <w:rPr>
          <w:rFonts w:ascii="Calibri" w:hAnsi="Calibri" w:cs="Calibri"/>
        </w:rPr>
        <w:t>Great teachers are the key to preparing students for success after high school.  The Teaching to Lead program helps new career and technical education teachers become great teachers.  Developed by the Southern Regional Education Board and the National Research Center for Career and Technical Education, Teaching to Lead was especially designed to prepare and support CTE teachers entering the classroom after successful careers in business and industry.</w:t>
      </w:r>
    </w:p>
    <w:p w14:paraId="7650D76A" w14:textId="77777777" w:rsidR="002A71F4" w:rsidRPr="002A71F4" w:rsidRDefault="002A71F4" w:rsidP="002A71F4">
      <w:pPr>
        <w:spacing w:after="0" w:line="240" w:lineRule="auto"/>
        <w:ind w:left="360"/>
        <w:rPr>
          <w:rFonts w:ascii="Calibri" w:hAnsi="Calibri" w:cs="Calibri"/>
        </w:rPr>
      </w:pPr>
    </w:p>
    <w:p w14:paraId="1664F339" w14:textId="77777777" w:rsidR="002A71F4" w:rsidRPr="002A71F4" w:rsidRDefault="002A71F4" w:rsidP="002A71F4">
      <w:pPr>
        <w:spacing w:after="0" w:line="259" w:lineRule="auto"/>
        <w:rPr>
          <w:rFonts w:ascii="Calibri" w:hAnsi="Calibri" w:cs="Calibri"/>
        </w:rPr>
      </w:pPr>
      <w:r w:rsidRPr="002A71F4">
        <w:rPr>
          <w:rFonts w:ascii="Calibri" w:hAnsi="Calibri" w:cs="Calibri"/>
        </w:rPr>
        <w:t>Including professional development, critical elements in the Teaching to Lead model are coaching and support from administrators and mentors as well as intensive reflection on instructional practices.  Program results have shown increased teacher competence, self-efficacy, and career commitment.</w:t>
      </w:r>
    </w:p>
    <w:p w14:paraId="39D392F8" w14:textId="77777777" w:rsidR="002A71F4" w:rsidRPr="002A71F4" w:rsidRDefault="002A71F4" w:rsidP="002A71F4">
      <w:pPr>
        <w:pStyle w:val="ListParagraph"/>
        <w:rPr>
          <w:rFonts w:ascii="Calibri" w:hAnsi="Calibri" w:cs="Calibri"/>
        </w:rPr>
      </w:pPr>
    </w:p>
    <w:p w14:paraId="04BA15F4" w14:textId="77777777" w:rsidR="002A71F4" w:rsidRPr="002A71F4" w:rsidRDefault="002A71F4" w:rsidP="002A71F4">
      <w:pPr>
        <w:rPr>
          <w:rFonts w:ascii="Calibri" w:hAnsi="Calibri" w:cs="Calibri"/>
        </w:rPr>
      </w:pPr>
      <w:r w:rsidRPr="002A71F4">
        <w:rPr>
          <w:rFonts w:ascii="Calibri" w:hAnsi="Calibri" w:cs="Calibri"/>
        </w:rPr>
        <w:t>[The text and graphics on the screen say: Teaching to Lead is a research-based professional development model designed to increase early career CTE teachers’ competence, self-efficacy and career commitment. It has three components: Professional Development, Administrator Mentor Coaching and Support, and Teacher Reflection.]</w:t>
      </w:r>
      <w:r w:rsidRPr="002A71F4">
        <w:rPr>
          <w:rFonts w:ascii="Calibri" w:hAnsi="Calibri" w:cs="Calibri"/>
        </w:rPr>
        <w:br/>
      </w:r>
    </w:p>
    <w:p w14:paraId="71E8EDA8" w14:textId="77777777" w:rsidR="002A71F4" w:rsidRPr="002A71F4" w:rsidRDefault="002A71F4" w:rsidP="002A71F4">
      <w:pPr>
        <w:spacing w:after="0" w:line="259" w:lineRule="auto"/>
        <w:rPr>
          <w:rFonts w:ascii="Calibri" w:hAnsi="Calibri" w:cs="Calibri"/>
        </w:rPr>
      </w:pPr>
      <w:r w:rsidRPr="002A71F4">
        <w:rPr>
          <w:rFonts w:ascii="Calibri" w:hAnsi="Calibri" w:cs="Calibri"/>
        </w:rPr>
        <w:t>Professional development consists of over 200 hours of training before, during, and after the first year of teaching.  Modules are taught in a scope and sequence so participants can use the tools and strategies right away.  Beginning with building relationships with students and creating a positive learning environment, training is delivered by trainers with real-world teaching and leadership experience to inspire and support new teachers.  Often, training objectives are aligned with district or state evaluation requirements, so teachers can connect their learning to performance expectations.</w:t>
      </w:r>
    </w:p>
    <w:p w14:paraId="0FF232D5" w14:textId="77777777" w:rsidR="002A71F4" w:rsidRPr="002A71F4" w:rsidRDefault="002A71F4" w:rsidP="002A71F4">
      <w:pPr>
        <w:spacing w:after="0"/>
        <w:rPr>
          <w:rFonts w:ascii="Calibri" w:hAnsi="Calibri" w:cs="Calibri"/>
        </w:rPr>
      </w:pPr>
    </w:p>
    <w:p w14:paraId="5994BEF6" w14:textId="77777777" w:rsidR="002A71F4" w:rsidRPr="002A71F4" w:rsidRDefault="002A71F4" w:rsidP="002A71F4">
      <w:pPr>
        <w:spacing w:after="0"/>
        <w:rPr>
          <w:rFonts w:ascii="Calibri" w:hAnsi="Calibri" w:cs="Calibri"/>
        </w:rPr>
      </w:pPr>
      <w:r w:rsidRPr="002A71F4">
        <w:rPr>
          <w:rFonts w:ascii="Calibri" w:hAnsi="Calibri" w:cs="Calibri"/>
        </w:rPr>
        <w:t>[The text and graphics on the screen show how the four main modules of Teaching to Lead build teacher competence. These modules are:</w:t>
      </w:r>
    </w:p>
    <w:p w14:paraId="3A6EDC4D" w14:textId="77777777" w:rsidR="002A71F4" w:rsidRPr="002A71F4" w:rsidRDefault="002A71F4" w:rsidP="002A71F4">
      <w:pPr>
        <w:pStyle w:val="ListParagraph"/>
        <w:numPr>
          <w:ilvl w:val="0"/>
          <w:numId w:val="6"/>
        </w:numPr>
        <w:spacing w:after="0" w:line="259" w:lineRule="auto"/>
        <w:rPr>
          <w:rFonts w:ascii="Calibri" w:hAnsi="Calibri" w:cs="Calibri"/>
        </w:rPr>
      </w:pPr>
      <w:r w:rsidRPr="002A71F4">
        <w:rPr>
          <w:rFonts w:ascii="Calibri" w:hAnsi="Calibri" w:cs="Calibri"/>
        </w:rPr>
        <w:t>Instructional Planning - Create short-term and long-term standards-based instructional plans based on the varying learning needs of students.</w:t>
      </w:r>
    </w:p>
    <w:p w14:paraId="4A065641" w14:textId="77777777" w:rsidR="002A71F4" w:rsidRPr="002A71F4" w:rsidRDefault="002A71F4" w:rsidP="002A71F4">
      <w:pPr>
        <w:pStyle w:val="ListParagraph"/>
        <w:numPr>
          <w:ilvl w:val="0"/>
          <w:numId w:val="6"/>
        </w:numPr>
        <w:spacing w:after="0" w:line="259" w:lineRule="auto"/>
        <w:rPr>
          <w:rFonts w:ascii="Calibri" w:hAnsi="Calibri" w:cs="Calibri"/>
        </w:rPr>
      </w:pPr>
      <w:r w:rsidRPr="002A71F4">
        <w:rPr>
          <w:rFonts w:ascii="Calibri" w:hAnsi="Calibri" w:cs="Calibri"/>
        </w:rPr>
        <w:lastRenderedPageBreak/>
        <w:t>Instructional Strategies - Use instructional strategies that actively engage students in learning and encourage the development of problem-solving, critical thinking and teamwork skills.</w:t>
      </w:r>
    </w:p>
    <w:p w14:paraId="7027E51C" w14:textId="77777777" w:rsidR="002A71F4" w:rsidRPr="002A71F4" w:rsidRDefault="002A71F4" w:rsidP="002A71F4">
      <w:pPr>
        <w:pStyle w:val="ListParagraph"/>
        <w:numPr>
          <w:ilvl w:val="0"/>
          <w:numId w:val="6"/>
        </w:numPr>
        <w:spacing w:after="0" w:line="259" w:lineRule="auto"/>
        <w:rPr>
          <w:rFonts w:ascii="Calibri" w:hAnsi="Calibri" w:cs="Calibri"/>
        </w:rPr>
      </w:pPr>
      <w:r w:rsidRPr="002A71F4">
        <w:rPr>
          <w:rFonts w:ascii="Calibri" w:hAnsi="Calibri" w:cs="Calibri"/>
        </w:rPr>
        <w:t>Classroom Assessment - Use formal and informal assessment strategies to evaluate student progress toward learning goals and provide feedback to improve student learning.</w:t>
      </w:r>
    </w:p>
    <w:p w14:paraId="458D59C9" w14:textId="77777777" w:rsidR="002A71F4" w:rsidRPr="002A71F4" w:rsidRDefault="002A71F4" w:rsidP="002A71F4">
      <w:pPr>
        <w:pStyle w:val="ListParagraph"/>
        <w:numPr>
          <w:ilvl w:val="0"/>
          <w:numId w:val="6"/>
        </w:numPr>
        <w:spacing w:after="0" w:line="259" w:lineRule="auto"/>
        <w:rPr>
          <w:rFonts w:ascii="Calibri" w:hAnsi="Calibri" w:cs="Calibri"/>
        </w:rPr>
      </w:pPr>
      <w:r w:rsidRPr="002A71F4">
        <w:rPr>
          <w:rFonts w:ascii="Calibri" w:hAnsi="Calibri" w:cs="Calibri"/>
        </w:rPr>
        <w:t>Classroom Management - Create a learning environment that encourages student motivation, positive behavior and collaborative social interaction.</w:t>
      </w:r>
    </w:p>
    <w:p w14:paraId="5ABA3C2D" w14:textId="77777777" w:rsidR="002A71F4" w:rsidRPr="002A71F4" w:rsidRDefault="002A71F4" w:rsidP="002A71F4">
      <w:pPr>
        <w:spacing w:after="0"/>
        <w:rPr>
          <w:rFonts w:ascii="Calibri" w:hAnsi="Calibri" w:cs="Calibri"/>
        </w:rPr>
      </w:pPr>
      <w:r w:rsidRPr="002A71F4">
        <w:rPr>
          <w:rFonts w:ascii="Calibri" w:hAnsi="Calibri" w:cs="Calibri"/>
        </w:rPr>
        <w:t>An additional element of T2L is Teacher Reflection - Reflect, both individually and collaboratively, on the effects of instruction and use the reflective process to continually improve instructional practice.]</w:t>
      </w:r>
    </w:p>
    <w:p w14:paraId="35A3611E" w14:textId="77777777" w:rsidR="002A71F4" w:rsidRPr="002A71F4" w:rsidRDefault="002A71F4" w:rsidP="002A71F4">
      <w:pPr>
        <w:spacing w:after="0" w:line="240" w:lineRule="auto"/>
        <w:rPr>
          <w:rFonts w:ascii="Calibri" w:hAnsi="Calibri" w:cs="Calibri"/>
        </w:rPr>
      </w:pPr>
    </w:p>
    <w:p w14:paraId="57D17C69" w14:textId="77777777" w:rsidR="002A71F4" w:rsidRPr="002A71F4" w:rsidRDefault="002A71F4" w:rsidP="002A71F4">
      <w:pPr>
        <w:pStyle w:val="NormalWeb"/>
        <w:spacing w:before="0" w:beforeAutospacing="0" w:after="0" w:afterAutospacing="0"/>
        <w:rPr>
          <w:rFonts w:ascii="Calibri" w:hAnsi="Calibri" w:cs="Calibri"/>
          <w:sz w:val="22"/>
          <w:szCs w:val="22"/>
        </w:rPr>
      </w:pPr>
      <w:r w:rsidRPr="002A71F4">
        <w:rPr>
          <w:rFonts w:ascii="Calibri" w:eastAsiaTheme="minorEastAsia" w:hAnsi="Calibri" w:cs="Calibri"/>
          <w:color w:val="000000" w:themeColor="text1"/>
          <w:kern w:val="24"/>
          <w:sz w:val="22"/>
          <w:szCs w:val="22"/>
        </w:rPr>
        <w:t xml:space="preserve">Although the scope and sequence can be customized, SREB’s research-based design is typically implemented over two years with professional development and coaching services that strengthen teachers’ capacity to create challenging, standards-driven assignments.  Deeper professional learning to enhance students’ literacy, math and science knowledge and skills as well as collaborative, project-based learning units are often the focus of Year 2 with continued mentoring and support.  Using online systems, teachers can share their own promising practices and support each other during the ‘highs’ and ‘lows’ they often experience.  </w:t>
      </w:r>
    </w:p>
    <w:p w14:paraId="1A9EB10C" w14:textId="77777777" w:rsidR="002A71F4" w:rsidRPr="002A71F4" w:rsidRDefault="002A71F4" w:rsidP="002A71F4">
      <w:pPr>
        <w:pStyle w:val="NormalWeb"/>
        <w:spacing w:before="0"/>
        <w:rPr>
          <w:rFonts w:ascii="Calibri" w:hAnsi="Calibri" w:cs="Calibri"/>
          <w:sz w:val="22"/>
          <w:szCs w:val="22"/>
        </w:rPr>
      </w:pPr>
      <w:r w:rsidRPr="002A71F4">
        <w:rPr>
          <w:rFonts w:ascii="Calibri" w:eastAsiaTheme="minorEastAsia" w:hAnsi="Calibri" w:cs="Calibri"/>
          <w:color w:val="000000" w:themeColor="text1"/>
          <w:kern w:val="24"/>
          <w:sz w:val="22"/>
          <w:szCs w:val="22"/>
        </w:rPr>
        <w:t xml:space="preserve">[The text on the screen describes how Professional Development and Support is delivered with Teaching to Lead. Professional development consists of </w:t>
      </w:r>
      <w:r w:rsidRPr="002A71F4">
        <w:rPr>
          <w:rFonts w:ascii="Calibri" w:hAnsi="Calibri" w:cs="Calibri"/>
          <w:sz w:val="22"/>
          <w:szCs w:val="22"/>
        </w:rPr>
        <w:t>Summer Institute I</w:t>
      </w:r>
      <w:r w:rsidRPr="002A71F4">
        <w:rPr>
          <w:rFonts w:ascii="Calibri" w:eastAsiaTheme="minorEastAsia" w:hAnsi="Calibri" w:cs="Calibri"/>
          <w:color w:val="000000" w:themeColor="text1"/>
          <w:kern w:val="24"/>
          <w:sz w:val="22"/>
          <w:szCs w:val="22"/>
        </w:rPr>
        <w:t xml:space="preserve">, </w:t>
      </w:r>
      <w:r w:rsidRPr="002A71F4">
        <w:rPr>
          <w:rFonts w:ascii="Calibri" w:hAnsi="Calibri" w:cs="Calibri"/>
          <w:sz w:val="22"/>
          <w:szCs w:val="22"/>
        </w:rPr>
        <w:t>5-10 days prior to first year of teaching, During the First Year, 3 or more 2-day events, and Summer Institute II</w:t>
      </w:r>
      <w:r w:rsidRPr="002A71F4">
        <w:rPr>
          <w:rFonts w:ascii="Calibri" w:eastAsiaTheme="minorEastAsia" w:hAnsi="Calibri" w:cs="Calibri"/>
          <w:color w:val="000000" w:themeColor="text1"/>
          <w:kern w:val="24"/>
          <w:sz w:val="22"/>
          <w:szCs w:val="22"/>
        </w:rPr>
        <w:t xml:space="preserve">, </w:t>
      </w:r>
      <w:r w:rsidRPr="002A71F4">
        <w:rPr>
          <w:rFonts w:ascii="Calibri" w:hAnsi="Calibri" w:cs="Calibri"/>
          <w:sz w:val="22"/>
          <w:szCs w:val="22"/>
        </w:rPr>
        <w:t xml:space="preserve">5-10 days following the first year of teaching. Support consists of On-Site Coaching Visits from the professional development instructor, Mentoring from a trained, experienced teacher and Support from the building administrator. </w:t>
      </w:r>
      <w:r w:rsidRPr="002A71F4">
        <w:rPr>
          <w:rFonts w:ascii="Calibri" w:eastAsiaTheme="minorEastAsia" w:hAnsi="Calibri" w:cs="Calibri"/>
          <w:color w:val="000000" w:themeColor="text1"/>
          <w:kern w:val="24"/>
          <w:sz w:val="22"/>
          <w:szCs w:val="22"/>
        </w:rPr>
        <w:t>Teaching to Lead also develops electronic communities of practice among participants.]</w:t>
      </w:r>
    </w:p>
    <w:p w14:paraId="54FAD839" w14:textId="77777777" w:rsidR="002A71F4" w:rsidRPr="002A71F4" w:rsidRDefault="002A71F4" w:rsidP="002A71F4">
      <w:pPr>
        <w:spacing w:after="0" w:line="240" w:lineRule="auto"/>
        <w:rPr>
          <w:rFonts w:ascii="Calibri" w:hAnsi="Calibri" w:cs="Calibri"/>
        </w:rPr>
      </w:pPr>
      <w:r w:rsidRPr="002A71F4">
        <w:rPr>
          <w:rFonts w:ascii="Calibri" w:hAnsi="Calibri" w:cs="Calibri"/>
        </w:rPr>
        <w:t>Teaching to Lead can be used by states, districts, or schools to support new or veteran CTE teachers in the first or second year of teaching and beyond.  It can also take the place of traditional teacher preparation programs or alternative certification models.  Not only can SREB staff facilitate the program, but SREB can help build capacity in states, districts, and schools by training their staff to deliver the Teaching to Lead curriculum.</w:t>
      </w:r>
    </w:p>
    <w:p w14:paraId="3645EBC2" w14:textId="77777777" w:rsidR="002A71F4" w:rsidRPr="002A71F4" w:rsidRDefault="002A71F4" w:rsidP="002A71F4">
      <w:pPr>
        <w:spacing w:after="0" w:line="240" w:lineRule="auto"/>
        <w:rPr>
          <w:rFonts w:ascii="Calibri" w:hAnsi="Calibri" w:cs="Calibri"/>
        </w:rPr>
      </w:pPr>
    </w:p>
    <w:p w14:paraId="33723E47" w14:textId="77777777" w:rsidR="002A71F4" w:rsidRPr="002A71F4" w:rsidRDefault="002A71F4" w:rsidP="002A71F4">
      <w:pPr>
        <w:spacing w:after="0" w:line="240" w:lineRule="auto"/>
        <w:rPr>
          <w:rFonts w:ascii="Calibri" w:hAnsi="Calibri" w:cs="Calibri"/>
        </w:rPr>
      </w:pPr>
      <w:r w:rsidRPr="002A71F4">
        <w:rPr>
          <w:rFonts w:ascii="Calibri" w:hAnsi="Calibri" w:cs="Calibri"/>
        </w:rPr>
        <w:t>[The text on the screen shows how one state, district and school are using Teaching to Lead. Kentucky uses T2L as its teacher induction model for new CTE teachers. A two-year cohort of 180 teachers receives in-person professional development from SREB and ongoing coaching and mentoring from an SREB-certified state coordinator. The University of Louisville and Murray State University accept 12 hours of credit for T2L. For the past four years, SREB has partnered with the Syracuse City School District in Syracuse, New York, and the State University of New York at Oswego to offer six hours of college credit to teachers participating in T2L. SREB is certifying district trainers to deliver and sustain T2L in the future. Anderson V Career Campus in Anderson, South Carolina, is using T2L to develop a culture of good teaching practices among their faculty. By offering T2L to a new cohort of CTE teachers each year, the center’s entire faculty received T2L professional development and coaching. SREB works with center staff to sustain T2L on their own.]</w:t>
      </w:r>
    </w:p>
    <w:p w14:paraId="40CC0A9A" w14:textId="77777777" w:rsidR="002A71F4" w:rsidRPr="002A71F4" w:rsidRDefault="002A71F4" w:rsidP="002A71F4">
      <w:pPr>
        <w:spacing w:after="0" w:line="240" w:lineRule="auto"/>
        <w:rPr>
          <w:rFonts w:ascii="Calibri" w:hAnsi="Calibri" w:cs="Calibri"/>
        </w:rPr>
      </w:pPr>
    </w:p>
    <w:p w14:paraId="6EBF837E" w14:textId="77777777" w:rsidR="002A71F4" w:rsidRPr="002A71F4" w:rsidRDefault="002A71F4" w:rsidP="002A71F4">
      <w:pPr>
        <w:spacing w:after="160" w:line="259" w:lineRule="auto"/>
        <w:rPr>
          <w:rFonts w:ascii="Calibri" w:eastAsiaTheme="minorEastAsia" w:hAnsi="Calibri" w:cs="Calibri"/>
          <w:color w:val="000000" w:themeColor="text1"/>
          <w:kern w:val="24"/>
        </w:rPr>
      </w:pPr>
      <w:r w:rsidRPr="002A71F4">
        <w:rPr>
          <w:rFonts w:ascii="Calibri" w:eastAsiaTheme="minorEastAsia" w:hAnsi="Calibri" w:cs="Calibri"/>
          <w:color w:val="000000" w:themeColor="text1"/>
          <w:kern w:val="24"/>
        </w:rPr>
        <w:t>New and veteran CTE teachers along with CTE directors attest to the effectiveness and value of Teaching to Lead.  Data from an evaluation of the program in West Virginia, suggests that 88% of new CTE teachers planned to continue teaching at their schools after completing the Teaching to Lead program.</w:t>
      </w:r>
    </w:p>
    <w:p w14:paraId="442478E7" w14:textId="77777777" w:rsidR="002A71F4" w:rsidRPr="002A71F4" w:rsidRDefault="002A71F4" w:rsidP="002A71F4">
      <w:pPr>
        <w:rPr>
          <w:rFonts w:ascii="Calibri" w:eastAsiaTheme="minorEastAsia" w:hAnsi="Calibri" w:cs="Calibri"/>
          <w:color w:val="000000" w:themeColor="text1"/>
          <w:kern w:val="24"/>
        </w:rPr>
      </w:pPr>
      <w:r w:rsidRPr="002A71F4">
        <w:rPr>
          <w:rFonts w:ascii="Calibri" w:eastAsiaTheme="minorEastAsia" w:hAnsi="Calibri" w:cs="Calibri"/>
          <w:color w:val="000000" w:themeColor="text1"/>
          <w:kern w:val="24"/>
        </w:rPr>
        <w:lastRenderedPageBreak/>
        <w:t>[The text on the screen offers comments from T2L participants. In 2018, a new CTE teacher in Washington state said, “Attending this class made me excited to start teaching. I now understand how to use my frameworks, plan a unit, plan a lesson, use a rubric and have positive classroom management. Thank you so much for giving me tools to work confidently!” In 2018, a CTE Director in West Virginia said, “This is the strongest and the best model for training new CTE teachers there is. The teachers trained in T2L use the strategies (instruction, classroom organization) taught and then apply them in their classrooms. The networking and collaboration are a strong part of the program. The teacher connection to others in this program continues past the program conclusion.” In 2019, a veteran CTE teacher in Maryland said, “</w:t>
      </w:r>
      <w:r w:rsidRPr="002A71F4">
        <w:rPr>
          <w:rFonts w:ascii="Calibri" w:hAnsi="Calibri" w:cs="Calibri"/>
          <w:color w:val="000000" w:themeColor="text1"/>
          <w:kern w:val="24"/>
        </w:rPr>
        <w:t xml:space="preserve">The sessions provided plenty of information on the project-based learning process as well as templates and exemplars.  Combining the resources and teacher-created material into a shared folder </w:t>
      </w:r>
      <w:r w:rsidRPr="002A71F4">
        <w:rPr>
          <w:rFonts w:ascii="Calibri" w:eastAsiaTheme="minorEastAsia" w:hAnsi="Calibri" w:cs="Calibri"/>
          <w:color w:val="000000" w:themeColor="text1"/>
          <w:kern w:val="24"/>
        </w:rPr>
        <w:t>helped us collaborate.”</w:t>
      </w:r>
    </w:p>
    <w:p w14:paraId="463F00C5" w14:textId="77777777" w:rsidR="002A71F4" w:rsidRPr="002A71F4" w:rsidRDefault="002A71F4" w:rsidP="002A71F4">
      <w:pPr>
        <w:pStyle w:val="ListParagraph"/>
        <w:rPr>
          <w:rFonts w:ascii="Calibri" w:hAnsi="Calibri" w:cs="Calibri"/>
        </w:rPr>
      </w:pPr>
    </w:p>
    <w:p w14:paraId="7A0D7103" w14:textId="77777777" w:rsidR="002A71F4" w:rsidRPr="002A71F4" w:rsidRDefault="002A71F4" w:rsidP="002A71F4">
      <w:pPr>
        <w:spacing w:after="160" w:line="259" w:lineRule="auto"/>
        <w:rPr>
          <w:rFonts w:ascii="Calibri" w:hAnsi="Calibri" w:cs="Calibri"/>
        </w:rPr>
      </w:pPr>
      <w:r w:rsidRPr="002A71F4">
        <w:rPr>
          <w:rFonts w:ascii="Calibri" w:hAnsi="Calibri" w:cs="Calibri"/>
        </w:rPr>
        <w:t>Teaching to Lead has helped new and early-career CTE teachers plan instruction, engage students, manage classrooms, create standards-driven assessments, and gain confidence in their craft.  To learn more about Teaching to Lead, visit SREB’s website or contact Debbie Anderson, Program Manager for Teaching to Lead or Scott Warren, Director of Making Schools Work.</w:t>
      </w:r>
    </w:p>
    <w:p w14:paraId="2F21FD1D" w14:textId="56602956" w:rsidR="002009E0" w:rsidRPr="002A71F4" w:rsidRDefault="002A71F4" w:rsidP="002A71F4">
      <w:pPr>
        <w:rPr>
          <w:rFonts w:ascii="Calibri" w:hAnsi="Calibri" w:cs="Calibri"/>
        </w:rPr>
      </w:pPr>
      <w:r w:rsidRPr="002A71F4">
        <w:rPr>
          <w:rFonts w:ascii="Calibri" w:hAnsi="Calibri" w:cs="Calibri"/>
        </w:rPr>
        <w:t xml:space="preserve">[The text on the screen says, to learn more, visit sreb.org/teaching-lead. Contact: Debbie Anderson, Program Manager of Teaching to Lead, at </w:t>
      </w:r>
      <w:hyperlink r:id="rId5" w:history="1">
        <w:r w:rsidRPr="002A71F4">
          <w:rPr>
            <w:rStyle w:val="Hyperlink"/>
            <w:rFonts w:ascii="Calibri" w:hAnsi="Calibri" w:cs="Calibri"/>
          </w:rPr>
          <w:t>debbie.anderson@sreb.org</w:t>
        </w:r>
      </w:hyperlink>
      <w:r w:rsidRPr="002A71F4">
        <w:rPr>
          <w:rFonts w:ascii="Calibri" w:hAnsi="Calibri" w:cs="Calibri"/>
        </w:rPr>
        <w:t xml:space="preserve">. Or contact Scott Warren, Director of Making Schools Work, at </w:t>
      </w:r>
      <w:hyperlink r:id="rId6" w:history="1">
        <w:r w:rsidRPr="002A71F4">
          <w:rPr>
            <w:rStyle w:val="Hyperlink"/>
            <w:rFonts w:ascii="Calibri" w:hAnsi="Calibri" w:cs="Calibri"/>
          </w:rPr>
          <w:t>scott.warren@sreb.org</w:t>
        </w:r>
      </w:hyperlink>
      <w:r w:rsidRPr="002A71F4">
        <w:rPr>
          <w:rFonts w:ascii="Calibri" w:hAnsi="Calibri" w:cs="Calibri"/>
        </w:rPr>
        <w:t xml:space="preserve"> or 404-879-5613.]</w:t>
      </w:r>
    </w:p>
    <w:p w14:paraId="659218A4" w14:textId="0A82BA5E" w:rsidR="005E7275" w:rsidRPr="008E1EDC" w:rsidRDefault="00DC60DA" w:rsidP="008E1EDC">
      <w:pPr>
        <w:rPr>
          <w:i/>
          <w:iCs/>
        </w:rPr>
      </w:pPr>
      <w:r w:rsidRPr="00021685">
        <w:rPr>
          <w:i/>
          <w:iCs/>
        </w:rPr>
        <w:t>Please reach out to the Office of Career, Technical, and Adult Education if you have any questions.</w:t>
      </w:r>
    </w:p>
    <w:p w14:paraId="449E52A2" w14:textId="08D4DBEF" w:rsidR="00C032A2" w:rsidRDefault="00C032A2" w:rsidP="003033AC">
      <w:pPr>
        <w:spacing w:after="0" w:line="240" w:lineRule="auto"/>
      </w:pPr>
    </w:p>
    <w:p w14:paraId="69061373" w14:textId="29250263" w:rsidR="00C032A2" w:rsidRDefault="00C032A2" w:rsidP="003033AC">
      <w:pPr>
        <w:spacing w:after="0" w:line="240" w:lineRule="auto"/>
      </w:pPr>
    </w:p>
    <w:sectPr w:rsidR="00C03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50CD4"/>
    <w:multiLevelType w:val="hybridMultilevel"/>
    <w:tmpl w:val="A94A2712"/>
    <w:lvl w:ilvl="0" w:tplc="48B81C7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629A8"/>
    <w:multiLevelType w:val="hybridMultilevel"/>
    <w:tmpl w:val="C19E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52521"/>
    <w:multiLevelType w:val="hybridMultilevel"/>
    <w:tmpl w:val="A672FFFC"/>
    <w:lvl w:ilvl="0" w:tplc="55FE6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20D18"/>
    <w:multiLevelType w:val="hybridMultilevel"/>
    <w:tmpl w:val="13808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C37CD4"/>
    <w:multiLevelType w:val="hybridMultilevel"/>
    <w:tmpl w:val="2D64B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84"/>
    <w:rsid w:val="00021685"/>
    <w:rsid w:val="000438FC"/>
    <w:rsid w:val="00056887"/>
    <w:rsid w:val="00095F8C"/>
    <w:rsid w:val="000F7E19"/>
    <w:rsid w:val="00101219"/>
    <w:rsid w:val="00106B35"/>
    <w:rsid w:val="00130D56"/>
    <w:rsid w:val="0013586B"/>
    <w:rsid w:val="0014791D"/>
    <w:rsid w:val="00154FB3"/>
    <w:rsid w:val="00164945"/>
    <w:rsid w:val="00167FBA"/>
    <w:rsid w:val="001C055B"/>
    <w:rsid w:val="001C2B30"/>
    <w:rsid w:val="001C31A9"/>
    <w:rsid w:val="001D5C84"/>
    <w:rsid w:val="001F3D0D"/>
    <w:rsid w:val="002009E0"/>
    <w:rsid w:val="00260E01"/>
    <w:rsid w:val="00262A60"/>
    <w:rsid w:val="002676BA"/>
    <w:rsid w:val="002A71F4"/>
    <w:rsid w:val="002E5651"/>
    <w:rsid w:val="003033AC"/>
    <w:rsid w:val="00313517"/>
    <w:rsid w:val="0032296B"/>
    <w:rsid w:val="00365301"/>
    <w:rsid w:val="003858E6"/>
    <w:rsid w:val="003A7A54"/>
    <w:rsid w:val="004007ED"/>
    <w:rsid w:val="00411031"/>
    <w:rsid w:val="00415024"/>
    <w:rsid w:val="00421E76"/>
    <w:rsid w:val="004B20BF"/>
    <w:rsid w:val="004B25E0"/>
    <w:rsid w:val="004C2EED"/>
    <w:rsid w:val="004E2E97"/>
    <w:rsid w:val="005035DD"/>
    <w:rsid w:val="00527607"/>
    <w:rsid w:val="00531871"/>
    <w:rsid w:val="005353CF"/>
    <w:rsid w:val="005406A3"/>
    <w:rsid w:val="0056131D"/>
    <w:rsid w:val="00567476"/>
    <w:rsid w:val="005E13FA"/>
    <w:rsid w:val="005E6306"/>
    <w:rsid w:val="005E7275"/>
    <w:rsid w:val="005F552F"/>
    <w:rsid w:val="0060250A"/>
    <w:rsid w:val="00623B86"/>
    <w:rsid w:val="0064741D"/>
    <w:rsid w:val="006524C9"/>
    <w:rsid w:val="00654B0D"/>
    <w:rsid w:val="00683EE0"/>
    <w:rsid w:val="006A041D"/>
    <w:rsid w:val="006A13FD"/>
    <w:rsid w:val="006B28FB"/>
    <w:rsid w:val="006C31B6"/>
    <w:rsid w:val="006D64FA"/>
    <w:rsid w:val="006F3F30"/>
    <w:rsid w:val="00700899"/>
    <w:rsid w:val="00715B9C"/>
    <w:rsid w:val="00730535"/>
    <w:rsid w:val="00735E88"/>
    <w:rsid w:val="0078737C"/>
    <w:rsid w:val="007E43AB"/>
    <w:rsid w:val="0080552A"/>
    <w:rsid w:val="0082557B"/>
    <w:rsid w:val="00832F56"/>
    <w:rsid w:val="00842961"/>
    <w:rsid w:val="00854978"/>
    <w:rsid w:val="008745A5"/>
    <w:rsid w:val="0088026C"/>
    <w:rsid w:val="008B551A"/>
    <w:rsid w:val="008C1093"/>
    <w:rsid w:val="008E1EDC"/>
    <w:rsid w:val="00922457"/>
    <w:rsid w:val="00925116"/>
    <w:rsid w:val="009407E0"/>
    <w:rsid w:val="009441A8"/>
    <w:rsid w:val="00954365"/>
    <w:rsid w:val="0095735D"/>
    <w:rsid w:val="00964D32"/>
    <w:rsid w:val="0096578F"/>
    <w:rsid w:val="00984826"/>
    <w:rsid w:val="009A1503"/>
    <w:rsid w:val="009F497C"/>
    <w:rsid w:val="00A014C5"/>
    <w:rsid w:val="00A03EB4"/>
    <w:rsid w:val="00A06F85"/>
    <w:rsid w:val="00A70DA0"/>
    <w:rsid w:val="00A81644"/>
    <w:rsid w:val="00A84ADD"/>
    <w:rsid w:val="00AE4CB7"/>
    <w:rsid w:val="00B00A9F"/>
    <w:rsid w:val="00B00DCC"/>
    <w:rsid w:val="00B03D3B"/>
    <w:rsid w:val="00BF666A"/>
    <w:rsid w:val="00C032A2"/>
    <w:rsid w:val="00C05284"/>
    <w:rsid w:val="00C1046C"/>
    <w:rsid w:val="00C246B6"/>
    <w:rsid w:val="00C40529"/>
    <w:rsid w:val="00CA0238"/>
    <w:rsid w:val="00CA7C4C"/>
    <w:rsid w:val="00D173C3"/>
    <w:rsid w:val="00D35C1E"/>
    <w:rsid w:val="00D649BB"/>
    <w:rsid w:val="00D75120"/>
    <w:rsid w:val="00DC60DA"/>
    <w:rsid w:val="00DC64D1"/>
    <w:rsid w:val="00DC6C7A"/>
    <w:rsid w:val="00DD4804"/>
    <w:rsid w:val="00DF6F27"/>
    <w:rsid w:val="00DF6FBC"/>
    <w:rsid w:val="00E37DE3"/>
    <w:rsid w:val="00E45B66"/>
    <w:rsid w:val="00E9298C"/>
    <w:rsid w:val="00E96086"/>
    <w:rsid w:val="00EC2B1D"/>
    <w:rsid w:val="00EE0D5A"/>
    <w:rsid w:val="00EE1E18"/>
    <w:rsid w:val="00EF504E"/>
    <w:rsid w:val="00F21EF2"/>
    <w:rsid w:val="00F33524"/>
    <w:rsid w:val="00F50CAC"/>
    <w:rsid w:val="00F61A5D"/>
    <w:rsid w:val="00F70872"/>
    <w:rsid w:val="00F74554"/>
    <w:rsid w:val="00F900AE"/>
    <w:rsid w:val="00FA0EF5"/>
    <w:rsid w:val="00FA3312"/>
    <w:rsid w:val="00FC305A"/>
    <w:rsid w:val="00FD0DFF"/>
    <w:rsid w:val="00FD3219"/>
    <w:rsid w:val="00FF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B9DE"/>
  <w15:docId w15:val="{A374CE37-7BBB-400E-AF53-5316F68F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284"/>
    <w:rPr>
      <w:color w:val="0563C1" w:themeColor="hyperlink"/>
      <w:u w:val="single"/>
    </w:rPr>
  </w:style>
  <w:style w:type="paragraph" w:styleId="BalloonText">
    <w:name w:val="Balloon Text"/>
    <w:basedOn w:val="Normal"/>
    <w:link w:val="BalloonTextChar"/>
    <w:uiPriority w:val="99"/>
    <w:semiHidden/>
    <w:unhideWhenUsed/>
    <w:rsid w:val="00095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F8C"/>
    <w:rPr>
      <w:rFonts w:ascii="Segoe UI" w:hAnsi="Segoe UI" w:cs="Segoe UI"/>
      <w:sz w:val="18"/>
      <w:szCs w:val="18"/>
    </w:rPr>
  </w:style>
  <w:style w:type="character" w:styleId="CommentReference">
    <w:name w:val="annotation reference"/>
    <w:basedOn w:val="DefaultParagraphFont"/>
    <w:uiPriority w:val="99"/>
    <w:semiHidden/>
    <w:unhideWhenUsed/>
    <w:rsid w:val="00922457"/>
    <w:rPr>
      <w:sz w:val="16"/>
      <w:szCs w:val="16"/>
    </w:rPr>
  </w:style>
  <w:style w:type="paragraph" w:styleId="CommentText">
    <w:name w:val="annotation text"/>
    <w:basedOn w:val="Normal"/>
    <w:link w:val="CommentTextChar"/>
    <w:uiPriority w:val="99"/>
    <w:semiHidden/>
    <w:unhideWhenUsed/>
    <w:rsid w:val="00922457"/>
    <w:pPr>
      <w:spacing w:line="240" w:lineRule="auto"/>
    </w:pPr>
    <w:rPr>
      <w:sz w:val="20"/>
      <w:szCs w:val="20"/>
    </w:rPr>
  </w:style>
  <w:style w:type="character" w:customStyle="1" w:styleId="CommentTextChar">
    <w:name w:val="Comment Text Char"/>
    <w:basedOn w:val="DefaultParagraphFont"/>
    <w:link w:val="CommentText"/>
    <w:uiPriority w:val="99"/>
    <w:semiHidden/>
    <w:rsid w:val="00922457"/>
    <w:rPr>
      <w:sz w:val="20"/>
      <w:szCs w:val="20"/>
    </w:rPr>
  </w:style>
  <w:style w:type="paragraph" w:styleId="CommentSubject">
    <w:name w:val="annotation subject"/>
    <w:basedOn w:val="CommentText"/>
    <w:next w:val="CommentText"/>
    <w:link w:val="CommentSubjectChar"/>
    <w:uiPriority w:val="99"/>
    <w:semiHidden/>
    <w:unhideWhenUsed/>
    <w:rsid w:val="00922457"/>
    <w:rPr>
      <w:b/>
      <w:bCs/>
    </w:rPr>
  </w:style>
  <w:style w:type="character" w:customStyle="1" w:styleId="CommentSubjectChar">
    <w:name w:val="Comment Subject Char"/>
    <w:basedOn w:val="CommentTextChar"/>
    <w:link w:val="CommentSubject"/>
    <w:uiPriority w:val="99"/>
    <w:semiHidden/>
    <w:rsid w:val="00922457"/>
    <w:rPr>
      <w:b/>
      <w:bCs/>
      <w:sz w:val="20"/>
      <w:szCs w:val="20"/>
    </w:rPr>
  </w:style>
  <w:style w:type="paragraph" w:styleId="ListParagraph">
    <w:name w:val="List Paragraph"/>
    <w:basedOn w:val="Normal"/>
    <w:uiPriority w:val="34"/>
    <w:qFormat/>
    <w:rsid w:val="0088026C"/>
    <w:pPr>
      <w:ind w:left="720"/>
      <w:contextualSpacing/>
    </w:pPr>
  </w:style>
  <w:style w:type="paragraph" w:styleId="NormalWeb">
    <w:name w:val="Normal (Web)"/>
    <w:basedOn w:val="Normal"/>
    <w:uiPriority w:val="99"/>
    <w:unhideWhenUsed/>
    <w:rsid w:val="006A04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041D"/>
    <w:rPr>
      <w:i/>
      <w:iCs/>
    </w:rPr>
  </w:style>
  <w:style w:type="paragraph" w:styleId="EndnoteText">
    <w:name w:val="endnote text"/>
    <w:basedOn w:val="Normal"/>
    <w:link w:val="EndnoteTextChar"/>
    <w:uiPriority w:val="99"/>
    <w:unhideWhenUsed/>
    <w:rsid w:val="0064741D"/>
    <w:pPr>
      <w:spacing w:after="0" w:line="240" w:lineRule="auto"/>
    </w:pPr>
    <w:rPr>
      <w:sz w:val="20"/>
      <w:szCs w:val="20"/>
    </w:rPr>
  </w:style>
  <w:style w:type="character" w:customStyle="1" w:styleId="EndnoteTextChar">
    <w:name w:val="Endnote Text Char"/>
    <w:basedOn w:val="DefaultParagraphFont"/>
    <w:link w:val="EndnoteText"/>
    <w:uiPriority w:val="99"/>
    <w:rsid w:val="0064741D"/>
    <w:rPr>
      <w:sz w:val="20"/>
      <w:szCs w:val="20"/>
    </w:rPr>
  </w:style>
  <w:style w:type="character" w:styleId="FollowedHyperlink">
    <w:name w:val="FollowedHyperlink"/>
    <w:basedOn w:val="DefaultParagraphFont"/>
    <w:uiPriority w:val="99"/>
    <w:semiHidden/>
    <w:unhideWhenUsed/>
    <w:rsid w:val="00832F56"/>
    <w:rPr>
      <w:color w:val="954F72" w:themeColor="followedHyperlink"/>
      <w:u w:val="single"/>
    </w:rPr>
  </w:style>
  <w:style w:type="character" w:styleId="UnresolvedMention">
    <w:name w:val="Unresolved Mention"/>
    <w:basedOn w:val="DefaultParagraphFont"/>
    <w:uiPriority w:val="99"/>
    <w:semiHidden/>
    <w:unhideWhenUsed/>
    <w:rsid w:val="00832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868809">
      <w:bodyDiv w:val="1"/>
      <w:marLeft w:val="0"/>
      <w:marRight w:val="0"/>
      <w:marTop w:val="0"/>
      <w:marBottom w:val="0"/>
      <w:divBdr>
        <w:top w:val="none" w:sz="0" w:space="0" w:color="auto"/>
        <w:left w:val="none" w:sz="0" w:space="0" w:color="auto"/>
        <w:bottom w:val="none" w:sz="0" w:space="0" w:color="auto"/>
        <w:right w:val="none" w:sz="0" w:space="0" w:color="auto"/>
      </w:divBdr>
    </w:div>
    <w:div w:id="905454938">
      <w:bodyDiv w:val="1"/>
      <w:marLeft w:val="0"/>
      <w:marRight w:val="0"/>
      <w:marTop w:val="0"/>
      <w:marBottom w:val="0"/>
      <w:divBdr>
        <w:top w:val="none" w:sz="0" w:space="0" w:color="auto"/>
        <w:left w:val="none" w:sz="0" w:space="0" w:color="auto"/>
        <w:bottom w:val="none" w:sz="0" w:space="0" w:color="auto"/>
        <w:right w:val="none" w:sz="0" w:space="0" w:color="auto"/>
      </w:divBdr>
    </w:div>
    <w:div w:id="1036349668">
      <w:bodyDiv w:val="1"/>
      <w:marLeft w:val="0"/>
      <w:marRight w:val="0"/>
      <w:marTop w:val="0"/>
      <w:marBottom w:val="0"/>
      <w:divBdr>
        <w:top w:val="none" w:sz="0" w:space="0" w:color="auto"/>
        <w:left w:val="none" w:sz="0" w:space="0" w:color="auto"/>
        <w:bottom w:val="none" w:sz="0" w:space="0" w:color="auto"/>
        <w:right w:val="none" w:sz="0" w:space="0" w:color="auto"/>
      </w:divBdr>
    </w:div>
    <w:div w:id="1080440940">
      <w:bodyDiv w:val="1"/>
      <w:marLeft w:val="0"/>
      <w:marRight w:val="0"/>
      <w:marTop w:val="0"/>
      <w:marBottom w:val="0"/>
      <w:divBdr>
        <w:top w:val="none" w:sz="0" w:space="0" w:color="auto"/>
        <w:left w:val="none" w:sz="0" w:space="0" w:color="auto"/>
        <w:bottom w:val="none" w:sz="0" w:space="0" w:color="auto"/>
        <w:right w:val="none" w:sz="0" w:space="0" w:color="auto"/>
      </w:divBdr>
    </w:div>
    <w:div w:id="20522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tt.warren@sreb.org" TargetMode="External"/><Relationship Id="rId5" Type="http://schemas.openxmlformats.org/officeDocument/2006/relationships/hyperlink" Target="mailto:debbie.anderson@sre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2347</Words>
  <Characters>13380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Pettey, Richard</dc:creator>
  <cp:lastModifiedBy>Kochevar, Janell</cp:lastModifiedBy>
  <cp:revision>2</cp:revision>
  <cp:lastPrinted>2019-07-10T13:43:00Z</cp:lastPrinted>
  <dcterms:created xsi:type="dcterms:W3CDTF">2019-07-19T05:32:00Z</dcterms:created>
  <dcterms:modified xsi:type="dcterms:W3CDTF">2019-07-19T05:32:00Z</dcterms:modified>
</cp:coreProperties>
</file>